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773" w:rsidRDefault="00134773" w:rsidP="00134773">
      <w:pPr>
        <w:spacing w:line="400" w:lineRule="exact"/>
        <w:jc w:val="center"/>
        <w:outlineLvl w:val="0"/>
        <w:rPr>
          <w:rFonts w:ascii="標楷體" w:eastAsia="標楷體" w:hAnsi="標楷體" w:cs="標楷體"/>
          <w:b/>
          <w:bCs/>
          <w:sz w:val="28"/>
          <w:szCs w:val="28"/>
        </w:rPr>
      </w:pPr>
      <w:r w:rsidRPr="00165533">
        <w:rPr>
          <w:rFonts w:ascii="標楷體" w:eastAsia="標楷體" w:hAnsi="標楷體" w:cs="標楷體" w:hint="eastAsia"/>
          <w:b/>
          <w:bCs/>
          <w:sz w:val="28"/>
          <w:szCs w:val="28"/>
        </w:rPr>
        <w:t>澎湖縣</w:t>
      </w:r>
      <w:proofErr w:type="gramStart"/>
      <w:r w:rsidRPr="00165533">
        <w:rPr>
          <w:rFonts w:ascii="標楷體" w:eastAsia="標楷體" w:hAnsi="標楷體" w:cs="標楷體"/>
          <w:b/>
          <w:bCs/>
          <w:sz w:val="28"/>
          <w:szCs w:val="28"/>
        </w:rPr>
        <w:t>106</w:t>
      </w:r>
      <w:proofErr w:type="gramEnd"/>
      <w:r w:rsidRPr="00165533">
        <w:rPr>
          <w:rFonts w:ascii="標楷體" w:eastAsia="標楷體" w:hAnsi="標楷體" w:cs="標楷體" w:hint="eastAsia"/>
          <w:b/>
          <w:bCs/>
          <w:sz w:val="28"/>
          <w:szCs w:val="28"/>
        </w:rPr>
        <w:t>年度國教</w:t>
      </w:r>
      <w:proofErr w:type="gramStart"/>
      <w:r w:rsidRPr="00165533">
        <w:rPr>
          <w:rFonts w:ascii="標楷體" w:eastAsia="標楷體" w:hAnsi="標楷體" w:cs="標楷體" w:hint="eastAsia"/>
          <w:b/>
          <w:bCs/>
          <w:sz w:val="28"/>
          <w:szCs w:val="28"/>
        </w:rPr>
        <w:t>輔導團增能</w:t>
      </w:r>
      <w:proofErr w:type="gramEnd"/>
      <w:r w:rsidRPr="00165533">
        <w:rPr>
          <w:rFonts w:ascii="標楷體" w:eastAsia="標楷體" w:hAnsi="標楷體" w:cs="標楷體" w:hint="eastAsia"/>
          <w:b/>
          <w:bCs/>
          <w:sz w:val="28"/>
          <w:szCs w:val="28"/>
        </w:rPr>
        <w:t>研習－輔導團員</w:t>
      </w:r>
    </w:p>
    <w:p w:rsidR="00134773" w:rsidRDefault="00134773" w:rsidP="00134773">
      <w:pPr>
        <w:spacing w:line="400" w:lineRule="exact"/>
        <w:jc w:val="center"/>
        <w:outlineLvl w:val="0"/>
        <w:rPr>
          <w:rFonts w:ascii="標楷體" w:eastAsia="標楷體" w:hAnsi="標楷體" w:cs="標楷體"/>
          <w:b/>
          <w:bCs/>
          <w:sz w:val="28"/>
          <w:szCs w:val="28"/>
        </w:rPr>
      </w:pPr>
      <w:r w:rsidRPr="00165533">
        <w:rPr>
          <w:rFonts w:ascii="標楷體" w:eastAsia="標楷體" w:hAnsi="標楷體" w:cs="標楷體" w:hint="eastAsia"/>
          <w:b/>
          <w:bCs/>
          <w:sz w:val="28"/>
          <w:szCs w:val="28"/>
        </w:rPr>
        <w:t>「教學領導的「議想世界」</w:t>
      </w:r>
      <w:r w:rsidRPr="00165533">
        <w:rPr>
          <w:rFonts w:ascii="標楷體" w:eastAsia="標楷體" w:hAnsi="標楷體" w:cs="標楷體"/>
          <w:b/>
          <w:bCs/>
          <w:sz w:val="28"/>
          <w:szCs w:val="28"/>
        </w:rPr>
        <w:t>~</w:t>
      </w:r>
      <w:r w:rsidRPr="00165533">
        <w:rPr>
          <w:rFonts w:ascii="標楷體" w:eastAsia="標楷體" w:hAnsi="標楷體" w:cs="標楷體" w:hint="eastAsia"/>
          <w:b/>
          <w:bCs/>
          <w:sz w:val="28"/>
          <w:szCs w:val="28"/>
        </w:rPr>
        <w:t>教育政策思辨與行動」</w:t>
      </w:r>
    </w:p>
    <w:p w:rsidR="00134773" w:rsidRPr="00165533" w:rsidRDefault="00134773" w:rsidP="00134773">
      <w:pPr>
        <w:spacing w:line="400" w:lineRule="exact"/>
        <w:jc w:val="center"/>
        <w:outlineLvl w:val="0"/>
        <w:rPr>
          <w:rFonts w:ascii="標楷體" w:eastAsia="標楷體" w:hAnsi="標楷體" w:cs="Times New Roman"/>
          <w:b/>
          <w:bCs/>
          <w:sz w:val="28"/>
          <w:szCs w:val="28"/>
        </w:rPr>
      </w:pPr>
      <w:r w:rsidRPr="00165533">
        <w:rPr>
          <w:rFonts w:ascii="標楷體" w:eastAsia="標楷體" w:hAnsi="標楷體" w:cs="標楷體" w:hint="eastAsia"/>
          <w:b/>
          <w:bCs/>
          <w:sz w:val="28"/>
          <w:szCs w:val="28"/>
        </w:rPr>
        <w:t>實施計畫</w:t>
      </w:r>
    </w:p>
    <w:p w:rsidR="00134773" w:rsidRPr="001F4690" w:rsidRDefault="00134773" w:rsidP="00134773">
      <w:pPr>
        <w:spacing w:line="500" w:lineRule="exact"/>
        <w:rPr>
          <w:rFonts w:ascii="標楷體" w:eastAsia="標楷體" w:hAnsi="標楷體" w:cs="Times New Roman"/>
          <w:b/>
          <w:bCs/>
          <w:sz w:val="28"/>
          <w:szCs w:val="28"/>
        </w:rPr>
      </w:pPr>
      <w:r w:rsidRPr="001F4690">
        <w:rPr>
          <w:rFonts w:ascii="標楷體" w:eastAsia="標楷體" w:hAnsi="標楷體" w:cs="標楷體" w:hint="eastAsia"/>
          <w:b/>
          <w:bCs/>
          <w:sz w:val="28"/>
          <w:szCs w:val="28"/>
        </w:rPr>
        <w:t>壹、依據</w:t>
      </w:r>
    </w:p>
    <w:p w:rsidR="00134773" w:rsidRPr="00165533" w:rsidRDefault="00134773" w:rsidP="00134773">
      <w:pPr>
        <w:spacing w:line="360" w:lineRule="auto"/>
        <w:ind w:leftChars="100" w:left="719" w:hangingChars="212" w:hanging="509"/>
        <w:rPr>
          <w:rFonts w:ascii="Arial" w:eastAsia="標楷體" w:hAnsi="Arial" w:cs="Times New Roman"/>
          <w:sz w:val="24"/>
          <w:szCs w:val="24"/>
        </w:rPr>
      </w:pPr>
      <w:r w:rsidRPr="00165533">
        <w:rPr>
          <w:rFonts w:ascii="標楷體" w:eastAsia="標楷體" w:hAnsi="標楷體" w:cs="標楷體" w:hint="eastAsia"/>
          <w:sz w:val="24"/>
          <w:szCs w:val="24"/>
        </w:rPr>
        <w:t>一、</w:t>
      </w:r>
      <w:r>
        <w:rPr>
          <w:rFonts w:ascii="Arial" w:eastAsia="標楷體" w:hAnsi="Arial" w:cs="標楷體" w:hint="eastAsia"/>
          <w:sz w:val="24"/>
          <w:szCs w:val="24"/>
        </w:rPr>
        <w:t>教育部國民及學前教育署</w:t>
      </w:r>
      <w:r w:rsidRPr="00165533">
        <w:rPr>
          <w:rFonts w:ascii="Arial" w:eastAsia="標楷體" w:hAnsi="Arial" w:cs="標楷體" w:hint="eastAsia"/>
          <w:sz w:val="24"/>
          <w:szCs w:val="24"/>
        </w:rPr>
        <w:t>補助辦理十二年國民基本教育精進國民中學及國民小學教學品質要點</w:t>
      </w:r>
    </w:p>
    <w:p w:rsidR="00134773" w:rsidRPr="00165533" w:rsidRDefault="00134773" w:rsidP="00134773">
      <w:pPr>
        <w:spacing w:line="360" w:lineRule="auto"/>
        <w:ind w:leftChars="100" w:left="210"/>
        <w:rPr>
          <w:rFonts w:ascii="標楷體" w:eastAsia="標楷體" w:hAnsi="標楷體" w:cs="Times New Roman"/>
          <w:sz w:val="24"/>
          <w:szCs w:val="24"/>
        </w:rPr>
      </w:pPr>
      <w:r w:rsidRPr="00165533">
        <w:rPr>
          <w:rFonts w:ascii="標楷體" w:eastAsia="標楷體" w:hAnsi="標楷體" w:cs="標楷體" w:hint="eastAsia"/>
          <w:sz w:val="24"/>
          <w:szCs w:val="24"/>
        </w:rPr>
        <w:t>二、本縣</w:t>
      </w:r>
      <w:proofErr w:type="gramStart"/>
      <w:r w:rsidRPr="00165533">
        <w:rPr>
          <w:rFonts w:ascii="標楷體" w:eastAsia="標楷體" w:hAnsi="標楷體" w:cs="標楷體"/>
          <w:sz w:val="24"/>
          <w:szCs w:val="24"/>
        </w:rPr>
        <w:t>106</w:t>
      </w:r>
      <w:proofErr w:type="gramEnd"/>
      <w:r w:rsidRPr="00165533">
        <w:rPr>
          <w:rFonts w:ascii="標楷體" w:eastAsia="標楷體" w:hAnsi="標楷體" w:cs="標楷體" w:hint="eastAsia"/>
          <w:sz w:val="24"/>
          <w:szCs w:val="24"/>
        </w:rPr>
        <w:t>年度十二年國民基本教育精進國中小教學品質計畫。</w:t>
      </w:r>
    </w:p>
    <w:p w:rsidR="00134773" w:rsidRPr="001F4690" w:rsidRDefault="00134773" w:rsidP="00134773">
      <w:pPr>
        <w:spacing w:before="100" w:beforeAutospacing="1"/>
        <w:rPr>
          <w:rFonts w:ascii="標楷體" w:eastAsia="標楷體" w:hAnsi="標楷體" w:cs="Times New Roman"/>
          <w:b/>
          <w:bCs/>
          <w:sz w:val="28"/>
          <w:szCs w:val="28"/>
        </w:rPr>
      </w:pPr>
      <w:r w:rsidRPr="001F4690">
        <w:rPr>
          <w:rFonts w:ascii="標楷體" w:eastAsia="標楷體" w:hAnsi="標楷體" w:cs="標楷體" w:hint="eastAsia"/>
          <w:b/>
          <w:bCs/>
          <w:sz w:val="28"/>
          <w:szCs w:val="28"/>
        </w:rPr>
        <w:t>貳、目的</w:t>
      </w:r>
    </w:p>
    <w:p w:rsidR="00134773" w:rsidRPr="00165533" w:rsidRDefault="00134773" w:rsidP="00134773">
      <w:pPr>
        <w:spacing w:before="100" w:beforeAutospacing="1"/>
        <w:ind w:leftChars="100" w:left="719" w:hangingChars="212" w:hanging="509"/>
        <w:rPr>
          <w:rFonts w:ascii="標楷體" w:eastAsia="標楷體" w:hAnsi="標楷體" w:cs="Times New Roman"/>
          <w:sz w:val="24"/>
          <w:szCs w:val="24"/>
        </w:rPr>
      </w:pPr>
      <w:r w:rsidRPr="00165533">
        <w:rPr>
          <w:rFonts w:ascii="標楷體" w:eastAsia="標楷體" w:hAnsi="標楷體" w:cs="標楷體" w:hint="eastAsia"/>
          <w:sz w:val="24"/>
          <w:szCs w:val="24"/>
        </w:rPr>
        <w:t>一、引導輔導團員對社會動態、教育政策的思辨力，反思教師進修端可著力之處，用於規劃團</w:t>
      </w:r>
      <w:proofErr w:type="gramStart"/>
      <w:r w:rsidRPr="00165533">
        <w:rPr>
          <w:rFonts w:ascii="標楷體" w:eastAsia="標楷體" w:hAnsi="標楷體" w:cs="標楷體" w:hint="eastAsia"/>
          <w:sz w:val="24"/>
          <w:szCs w:val="24"/>
        </w:rPr>
        <w:t>務</w:t>
      </w:r>
      <w:proofErr w:type="gramEnd"/>
      <w:r w:rsidRPr="00165533">
        <w:rPr>
          <w:rFonts w:ascii="標楷體" w:eastAsia="標楷體" w:hAnsi="標楷體" w:cs="標楷體" w:hint="eastAsia"/>
          <w:sz w:val="24"/>
          <w:szCs w:val="24"/>
        </w:rPr>
        <w:t>、輔導教學。</w:t>
      </w:r>
    </w:p>
    <w:p w:rsidR="00134773" w:rsidRPr="00165533" w:rsidRDefault="00134773" w:rsidP="00134773">
      <w:pPr>
        <w:spacing w:line="500" w:lineRule="exact"/>
        <w:ind w:leftChars="100" w:left="719" w:hangingChars="212" w:hanging="509"/>
        <w:rPr>
          <w:rFonts w:ascii="標楷體" w:eastAsia="標楷體" w:hAnsi="標楷體" w:cs="Times New Roman"/>
          <w:sz w:val="24"/>
          <w:szCs w:val="24"/>
        </w:rPr>
      </w:pPr>
      <w:r w:rsidRPr="00165533">
        <w:rPr>
          <w:rFonts w:ascii="標楷體" w:eastAsia="標楷體" w:hAnsi="標楷體" w:cs="標楷體" w:hint="eastAsia"/>
          <w:sz w:val="24"/>
          <w:szCs w:val="24"/>
        </w:rPr>
        <w:t>二、提升教育人員之社會參與效益。並應用於教師教學輔導、辦理增能活動上，增進教學團隊領導、輔導教師教學的能力。</w:t>
      </w:r>
    </w:p>
    <w:p w:rsidR="00134773" w:rsidRPr="00165533" w:rsidRDefault="00134773" w:rsidP="00134773">
      <w:pPr>
        <w:spacing w:line="500" w:lineRule="exact"/>
        <w:ind w:leftChars="100" w:left="210"/>
        <w:rPr>
          <w:rFonts w:ascii="標楷體" w:eastAsia="標楷體" w:hAnsi="標楷體" w:cs="Times New Roman"/>
          <w:sz w:val="24"/>
          <w:szCs w:val="24"/>
        </w:rPr>
      </w:pPr>
      <w:r w:rsidRPr="00165533">
        <w:rPr>
          <w:rFonts w:ascii="標楷體" w:eastAsia="標楷體" w:hAnsi="標楷體" w:cs="標楷體" w:hint="eastAsia"/>
          <w:sz w:val="24"/>
          <w:szCs w:val="24"/>
        </w:rPr>
        <w:t>三、激盪輔導團員教師進修之課程設計方向，運用多元策略規劃研習內容。</w:t>
      </w:r>
    </w:p>
    <w:p w:rsidR="00134773" w:rsidRPr="00165533" w:rsidRDefault="00134773" w:rsidP="00134773">
      <w:pPr>
        <w:spacing w:line="500" w:lineRule="exact"/>
        <w:ind w:leftChars="100" w:left="719" w:hangingChars="212" w:hanging="509"/>
        <w:rPr>
          <w:rFonts w:ascii="標楷體" w:eastAsia="標楷體" w:hAnsi="標楷體" w:cs="Times New Roman"/>
          <w:sz w:val="24"/>
          <w:szCs w:val="24"/>
        </w:rPr>
      </w:pPr>
      <w:r w:rsidRPr="00165533">
        <w:rPr>
          <w:rFonts w:ascii="標楷體" w:eastAsia="標楷體" w:hAnsi="標楷體" w:cs="標楷體" w:hint="eastAsia"/>
          <w:sz w:val="24"/>
          <w:szCs w:val="24"/>
        </w:rPr>
        <w:t>四、增進輔導團員帶領教學團隊能力，促進帶領教師社群發展之效能，精進教師課堂教學品質。</w:t>
      </w:r>
    </w:p>
    <w:p w:rsidR="00134773" w:rsidRPr="001F4690" w:rsidRDefault="00134773" w:rsidP="00134773">
      <w:pPr>
        <w:spacing w:line="500" w:lineRule="exact"/>
        <w:ind w:leftChars="100" w:left="210"/>
        <w:rPr>
          <w:rFonts w:ascii="標楷體" w:eastAsia="標楷體" w:hAnsi="標楷體" w:cs="Times New Roman"/>
        </w:rPr>
      </w:pPr>
      <w:r w:rsidRPr="00165533">
        <w:rPr>
          <w:rFonts w:ascii="標楷體" w:eastAsia="標楷體" w:hAnsi="標楷體" w:cs="標楷體" w:hint="eastAsia"/>
          <w:sz w:val="24"/>
          <w:szCs w:val="24"/>
        </w:rPr>
        <w:t>五、經由豐富多元的思維經驗，活化輔導團員思維，於規劃團</w:t>
      </w:r>
      <w:proofErr w:type="gramStart"/>
      <w:r w:rsidRPr="00165533">
        <w:rPr>
          <w:rFonts w:ascii="標楷體" w:eastAsia="標楷體" w:hAnsi="標楷體" w:cs="標楷體" w:hint="eastAsia"/>
          <w:sz w:val="24"/>
          <w:szCs w:val="24"/>
        </w:rPr>
        <w:t>務</w:t>
      </w:r>
      <w:proofErr w:type="gramEnd"/>
      <w:r w:rsidRPr="00165533">
        <w:rPr>
          <w:rFonts w:ascii="標楷體" w:eastAsia="標楷體" w:hAnsi="標楷體" w:cs="標楷體" w:hint="eastAsia"/>
          <w:sz w:val="24"/>
          <w:szCs w:val="24"/>
        </w:rPr>
        <w:t>活動上，產生不同發想。</w:t>
      </w:r>
    </w:p>
    <w:p w:rsidR="00134773" w:rsidRPr="001F4690" w:rsidRDefault="00134773" w:rsidP="00134773">
      <w:pPr>
        <w:spacing w:before="100" w:beforeAutospacing="1" w:line="500" w:lineRule="exact"/>
        <w:jc w:val="both"/>
        <w:rPr>
          <w:rFonts w:ascii="標楷體" w:eastAsia="標楷體" w:hAnsi="標楷體" w:cs="Times New Roman"/>
          <w:b/>
          <w:bCs/>
          <w:sz w:val="28"/>
          <w:szCs w:val="28"/>
        </w:rPr>
      </w:pPr>
      <w:r w:rsidRPr="001F4690">
        <w:rPr>
          <w:rFonts w:ascii="標楷體" w:eastAsia="標楷體" w:hAnsi="標楷體" w:cs="標楷體" w:hint="eastAsia"/>
          <w:b/>
          <w:bCs/>
          <w:sz w:val="28"/>
          <w:szCs w:val="28"/>
        </w:rPr>
        <w:t>參、辦理單位</w:t>
      </w:r>
    </w:p>
    <w:p w:rsidR="00134773" w:rsidRPr="00165533" w:rsidRDefault="00134773" w:rsidP="00134773">
      <w:pPr>
        <w:spacing w:line="500" w:lineRule="exact"/>
        <w:ind w:leftChars="100" w:left="210"/>
        <w:jc w:val="both"/>
        <w:rPr>
          <w:rFonts w:ascii="標楷體" w:eastAsia="標楷體" w:hAnsi="標楷體" w:cs="Times New Roman"/>
          <w:sz w:val="24"/>
          <w:szCs w:val="24"/>
        </w:rPr>
      </w:pPr>
      <w:r w:rsidRPr="00165533">
        <w:rPr>
          <w:rFonts w:ascii="標楷體" w:eastAsia="標楷體" w:hAnsi="標楷體" w:cs="標楷體" w:hint="eastAsia"/>
          <w:sz w:val="24"/>
          <w:szCs w:val="24"/>
        </w:rPr>
        <w:t>一、指導單位：</w:t>
      </w:r>
      <w:r>
        <w:rPr>
          <w:rFonts w:ascii="標楷體" w:eastAsia="標楷體" w:hAnsi="標楷體" w:cs="標楷體" w:hint="eastAsia"/>
          <w:sz w:val="24"/>
          <w:szCs w:val="24"/>
        </w:rPr>
        <w:t>教育部國民及學前教育署</w:t>
      </w:r>
      <w:r w:rsidRPr="00165533">
        <w:rPr>
          <w:rFonts w:ascii="標楷體" w:eastAsia="標楷體" w:hAnsi="標楷體" w:cs="標楷體" w:hint="eastAsia"/>
          <w:sz w:val="24"/>
          <w:szCs w:val="24"/>
        </w:rPr>
        <w:t>。</w:t>
      </w:r>
    </w:p>
    <w:p w:rsidR="00134773" w:rsidRPr="00165533" w:rsidRDefault="00134773" w:rsidP="00134773">
      <w:pPr>
        <w:spacing w:line="500" w:lineRule="exact"/>
        <w:ind w:leftChars="100" w:left="210"/>
        <w:jc w:val="both"/>
        <w:rPr>
          <w:rFonts w:ascii="標楷體" w:eastAsia="標楷體" w:hAnsi="標楷體" w:cs="Times New Roman"/>
          <w:sz w:val="24"/>
          <w:szCs w:val="24"/>
        </w:rPr>
      </w:pPr>
      <w:r w:rsidRPr="00165533">
        <w:rPr>
          <w:rFonts w:ascii="標楷體" w:eastAsia="標楷體" w:hAnsi="標楷體" w:cs="標楷體" w:hint="eastAsia"/>
          <w:sz w:val="24"/>
          <w:szCs w:val="24"/>
        </w:rPr>
        <w:t>二、主辦單位：澎湖縣政府。</w:t>
      </w:r>
    </w:p>
    <w:p w:rsidR="00134773" w:rsidRPr="001F4690" w:rsidRDefault="00134773" w:rsidP="00134773">
      <w:pPr>
        <w:spacing w:line="500" w:lineRule="exact"/>
        <w:ind w:leftChars="100" w:left="210"/>
        <w:jc w:val="both"/>
        <w:rPr>
          <w:rFonts w:ascii="標楷體" w:eastAsia="標楷體" w:hAnsi="標楷體" w:cs="Times New Roman"/>
        </w:rPr>
      </w:pPr>
      <w:r>
        <w:rPr>
          <w:rFonts w:ascii="標楷體" w:eastAsia="標楷體" w:hAnsi="標楷體" w:cs="標楷體" w:hint="eastAsia"/>
          <w:sz w:val="24"/>
          <w:szCs w:val="24"/>
        </w:rPr>
        <w:t>三、承辦單位：澎湖縣政府教育處</w:t>
      </w:r>
      <w:r w:rsidRPr="00165533">
        <w:rPr>
          <w:rFonts w:ascii="標楷體" w:eastAsia="標楷體" w:hAnsi="標楷體" w:cs="標楷體" w:hint="eastAsia"/>
          <w:sz w:val="24"/>
          <w:szCs w:val="24"/>
        </w:rPr>
        <w:t>。</w:t>
      </w:r>
    </w:p>
    <w:p w:rsidR="00134773" w:rsidRPr="001F4690" w:rsidRDefault="00134773" w:rsidP="00134773">
      <w:pPr>
        <w:spacing w:before="100" w:beforeAutospacing="1" w:line="500" w:lineRule="exact"/>
        <w:rPr>
          <w:rFonts w:ascii="標楷體" w:eastAsia="標楷體" w:hAnsi="標楷體" w:cs="Times New Roman"/>
        </w:rPr>
      </w:pPr>
      <w:r w:rsidRPr="001F4690">
        <w:rPr>
          <w:rFonts w:ascii="標楷體" w:eastAsia="標楷體" w:hAnsi="標楷體" w:cs="標楷體" w:hint="eastAsia"/>
          <w:b/>
          <w:bCs/>
          <w:sz w:val="28"/>
          <w:szCs w:val="28"/>
        </w:rPr>
        <w:t>肆、辦理時間：</w:t>
      </w:r>
      <w:r w:rsidRPr="00165533">
        <w:rPr>
          <w:rFonts w:ascii="標楷體" w:eastAsia="標楷體" w:hAnsi="標楷體" w:cs="標楷體"/>
          <w:sz w:val="24"/>
          <w:szCs w:val="24"/>
        </w:rPr>
        <w:t>106</w:t>
      </w:r>
      <w:r w:rsidRPr="00165533">
        <w:rPr>
          <w:rFonts w:ascii="標楷體" w:eastAsia="標楷體" w:hAnsi="標楷體" w:cs="標楷體" w:hint="eastAsia"/>
          <w:sz w:val="24"/>
          <w:szCs w:val="24"/>
        </w:rPr>
        <w:t>年</w:t>
      </w:r>
      <w:r w:rsidRPr="00165533">
        <w:rPr>
          <w:rFonts w:ascii="標楷體" w:eastAsia="標楷體" w:hAnsi="標楷體" w:cs="標楷體"/>
          <w:sz w:val="24"/>
          <w:szCs w:val="24"/>
        </w:rPr>
        <w:t>6</w:t>
      </w:r>
      <w:r w:rsidRPr="00165533">
        <w:rPr>
          <w:rFonts w:ascii="標楷體" w:eastAsia="標楷體" w:hAnsi="標楷體" w:cs="標楷體" w:hint="eastAsia"/>
          <w:sz w:val="24"/>
          <w:szCs w:val="24"/>
        </w:rPr>
        <w:t>月</w:t>
      </w:r>
      <w:r>
        <w:rPr>
          <w:rFonts w:ascii="標楷體" w:eastAsia="標楷體" w:hAnsi="標楷體" w:cs="標楷體" w:hint="eastAsia"/>
          <w:sz w:val="24"/>
          <w:szCs w:val="24"/>
        </w:rPr>
        <w:t>21日(三)</w:t>
      </w:r>
    </w:p>
    <w:p w:rsidR="00134773" w:rsidRPr="001F4690" w:rsidRDefault="00134773" w:rsidP="00134773">
      <w:pPr>
        <w:spacing w:before="100" w:beforeAutospacing="1" w:line="500" w:lineRule="exact"/>
        <w:ind w:left="1982" w:hangingChars="707" w:hanging="1982"/>
        <w:rPr>
          <w:rFonts w:ascii="標楷體" w:eastAsia="標楷體" w:hAnsi="標楷體" w:cs="Times New Roman"/>
          <w:b/>
          <w:bCs/>
          <w:sz w:val="28"/>
          <w:szCs w:val="28"/>
        </w:rPr>
      </w:pPr>
      <w:r w:rsidRPr="001F4690">
        <w:rPr>
          <w:rFonts w:ascii="標楷體" w:eastAsia="標楷體" w:hAnsi="標楷體" w:cs="標楷體" w:hint="eastAsia"/>
          <w:b/>
          <w:bCs/>
          <w:sz w:val="28"/>
          <w:szCs w:val="28"/>
        </w:rPr>
        <w:lastRenderedPageBreak/>
        <w:t>伍、課程內容：</w:t>
      </w:r>
    </w:p>
    <w:tbl>
      <w:tblPr>
        <w:tblW w:w="49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964"/>
        <w:gridCol w:w="2737"/>
        <w:gridCol w:w="2737"/>
        <w:gridCol w:w="826"/>
      </w:tblGrid>
      <w:tr w:rsidR="00134773" w:rsidRPr="00134773" w:rsidTr="00134773">
        <w:trPr>
          <w:trHeight w:val="746"/>
          <w:jc w:val="center"/>
        </w:trPr>
        <w:tc>
          <w:tcPr>
            <w:tcW w:w="1188" w:type="pct"/>
            <w:tcMar>
              <w:top w:w="0" w:type="dxa"/>
              <w:left w:w="108" w:type="dxa"/>
              <w:bottom w:w="0" w:type="dxa"/>
              <w:right w:w="108" w:type="dxa"/>
            </w:tcMar>
            <w:vAlign w:val="center"/>
          </w:tcPr>
          <w:p w:rsidR="00134773" w:rsidRPr="00134773" w:rsidRDefault="00134773" w:rsidP="00DD0DE2">
            <w:pPr>
              <w:spacing w:before="100" w:beforeAutospacing="1" w:after="100" w:afterAutospacing="1"/>
              <w:jc w:val="center"/>
              <w:rPr>
                <w:rFonts w:ascii="標楷體" w:eastAsia="標楷體" w:hAnsi="標楷體" w:cs="Times New Roman"/>
                <w:b/>
                <w:sz w:val="24"/>
                <w:szCs w:val="24"/>
              </w:rPr>
            </w:pPr>
            <w:r w:rsidRPr="00134773">
              <w:rPr>
                <w:rFonts w:ascii="標楷體" w:eastAsia="標楷體" w:hAnsi="標楷體" w:cs="標楷體" w:hint="eastAsia"/>
                <w:b/>
                <w:sz w:val="24"/>
                <w:szCs w:val="24"/>
              </w:rPr>
              <w:t>時間</w:t>
            </w:r>
          </w:p>
        </w:tc>
        <w:tc>
          <w:tcPr>
            <w:tcW w:w="1656" w:type="pct"/>
            <w:tcMar>
              <w:top w:w="0" w:type="dxa"/>
              <w:left w:w="108" w:type="dxa"/>
              <w:bottom w:w="0" w:type="dxa"/>
              <w:right w:w="108" w:type="dxa"/>
            </w:tcMar>
            <w:vAlign w:val="center"/>
          </w:tcPr>
          <w:p w:rsidR="00134773" w:rsidRPr="00134773" w:rsidRDefault="00134773" w:rsidP="00DD0DE2">
            <w:pPr>
              <w:spacing w:before="100" w:beforeAutospacing="1" w:after="100" w:afterAutospacing="1"/>
              <w:jc w:val="center"/>
              <w:rPr>
                <w:rFonts w:ascii="標楷體" w:eastAsia="標楷體" w:hAnsi="標楷體" w:cs="Times New Roman"/>
                <w:b/>
                <w:sz w:val="24"/>
                <w:szCs w:val="24"/>
              </w:rPr>
            </w:pPr>
            <w:r w:rsidRPr="00134773">
              <w:rPr>
                <w:rFonts w:ascii="標楷體" w:eastAsia="標楷體" w:hAnsi="標楷體" w:cs="標楷體" w:hint="eastAsia"/>
                <w:b/>
                <w:sz w:val="24"/>
                <w:szCs w:val="24"/>
              </w:rPr>
              <w:t>課程內容</w:t>
            </w:r>
          </w:p>
        </w:tc>
        <w:tc>
          <w:tcPr>
            <w:tcW w:w="1656" w:type="pct"/>
            <w:tcMar>
              <w:top w:w="0" w:type="dxa"/>
              <w:left w:w="108" w:type="dxa"/>
              <w:bottom w:w="0" w:type="dxa"/>
              <w:right w:w="108" w:type="dxa"/>
            </w:tcMar>
            <w:vAlign w:val="center"/>
          </w:tcPr>
          <w:p w:rsidR="00134773" w:rsidRPr="00134773" w:rsidRDefault="00134773" w:rsidP="00DD0DE2">
            <w:pPr>
              <w:spacing w:before="100" w:beforeAutospacing="1" w:after="100" w:afterAutospacing="1"/>
              <w:jc w:val="center"/>
              <w:rPr>
                <w:rFonts w:ascii="標楷體" w:eastAsia="標楷體" w:hAnsi="標楷體" w:cs="Times New Roman"/>
                <w:b/>
                <w:sz w:val="24"/>
                <w:szCs w:val="24"/>
              </w:rPr>
            </w:pPr>
            <w:r w:rsidRPr="00134773">
              <w:rPr>
                <w:rFonts w:ascii="標楷體" w:eastAsia="標楷體" w:hAnsi="標楷體" w:cs="標楷體" w:hint="eastAsia"/>
                <w:b/>
                <w:sz w:val="24"/>
                <w:szCs w:val="24"/>
              </w:rPr>
              <w:t>講師</w:t>
            </w:r>
          </w:p>
        </w:tc>
        <w:tc>
          <w:tcPr>
            <w:tcW w:w="500" w:type="pct"/>
            <w:vAlign w:val="center"/>
          </w:tcPr>
          <w:p w:rsidR="00134773" w:rsidRPr="00134773" w:rsidRDefault="00134773" w:rsidP="00DD0DE2">
            <w:pPr>
              <w:spacing w:before="100" w:beforeAutospacing="1" w:after="100" w:afterAutospacing="1"/>
              <w:jc w:val="center"/>
              <w:rPr>
                <w:rFonts w:ascii="標楷體" w:eastAsia="標楷體" w:hAnsi="標楷體" w:cs="Times New Roman"/>
                <w:b/>
                <w:sz w:val="24"/>
                <w:szCs w:val="24"/>
              </w:rPr>
            </w:pPr>
            <w:r w:rsidRPr="00134773">
              <w:rPr>
                <w:rFonts w:ascii="標楷體" w:eastAsia="標楷體" w:hAnsi="標楷體" w:cs="標楷體" w:hint="eastAsia"/>
                <w:b/>
                <w:sz w:val="24"/>
                <w:szCs w:val="24"/>
              </w:rPr>
              <w:t>備註</w:t>
            </w:r>
          </w:p>
        </w:tc>
      </w:tr>
      <w:tr w:rsidR="00134773" w:rsidRPr="004E3468" w:rsidTr="00134773">
        <w:trPr>
          <w:trHeight w:val="534"/>
          <w:jc w:val="center"/>
        </w:trPr>
        <w:tc>
          <w:tcPr>
            <w:tcW w:w="1188" w:type="pct"/>
            <w:tcMar>
              <w:top w:w="0" w:type="dxa"/>
              <w:left w:w="108" w:type="dxa"/>
              <w:bottom w:w="0" w:type="dxa"/>
              <w:right w:w="108" w:type="dxa"/>
            </w:tcMar>
            <w:vAlign w:val="center"/>
          </w:tcPr>
          <w:p w:rsidR="00134773" w:rsidRPr="00165533" w:rsidRDefault="00134773" w:rsidP="00134773">
            <w:pPr>
              <w:suppressAutoHyphens/>
              <w:snapToGrid w:val="0"/>
              <w:spacing w:line="240" w:lineRule="auto"/>
              <w:jc w:val="center"/>
              <w:rPr>
                <w:rFonts w:ascii="標楷體" w:eastAsia="標楷體" w:hAnsi="標楷體" w:cs="標楷體"/>
                <w:sz w:val="24"/>
                <w:szCs w:val="24"/>
                <w:shd w:val="clear" w:color="auto" w:fill="FFFFFF"/>
              </w:rPr>
            </w:pPr>
            <w:r w:rsidRPr="00165533">
              <w:rPr>
                <w:rFonts w:ascii="標楷體" w:eastAsia="標楷體" w:hAnsi="標楷體" w:cs="標楷體"/>
                <w:sz w:val="24"/>
                <w:szCs w:val="24"/>
                <w:shd w:val="clear" w:color="auto" w:fill="FFFFFF"/>
              </w:rPr>
              <w:t>8:50-9:00</w:t>
            </w:r>
          </w:p>
        </w:tc>
        <w:tc>
          <w:tcPr>
            <w:tcW w:w="1656" w:type="pct"/>
            <w:tcMar>
              <w:top w:w="0" w:type="dxa"/>
              <w:left w:w="108" w:type="dxa"/>
              <w:bottom w:w="0" w:type="dxa"/>
              <w:right w:w="108" w:type="dxa"/>
            </w:tcMar>
            <w:vAlign w:val="center"/>
          </w:tcPr>
          <w:p w:rsidR="00134773" w:rsidRPr="00165533" w:rsidRDefault="00134773" w:rsidP="00134773">
            <w:pPr>
              <w:suppressAutoHyphens/>
              <w:snapToGrid w:val="0"/>
              <w:spacing w:line="240" w:lineRule="auto"/>
              <w:jc w:val="center"/>
              <w:rPr>
                <w:rFonts w:ascii="標楷體" w:eastAsia="標楷體" w:hAnsi="標楷體" w:cs="Times New Roman"/>
                <w:sz w:val="24"/>
                <w:szCs w:val="24"/>
                <w:shd w:val="clear" w:color="auto" w:fill="FFFFFF"/>
              </w:rPr>
            </w:pPr>
            <w:r w:rsidRPr="00165533">
              <w:rPr>
                <w:rFonts w:ascii="標楷體" w:eastAsia="標楷體" w:hAnsi="標楷體" w:cs="標楷體" w:hint="eastAsia"/>
                <w:sz w:val="24"/>
                <w:szCs w:val="24"/>
                <w:shd w:val="clear" w:color="auto" w:fill="FFFFFF"/>
              </w:rPr>
              <w:t>報到</w:t>
            </w:r>
          </w:p>
        </w:tc>
        <w:tc>
          <w:tcPr>
            <w:tcW w:w="1656" w:type="pct"/>
            <w:tcMar>
              <w:top w:w="0" w:type="dxa"/>
              <w:left w:w="108" w:type="dxa"/>
              <w:bottom w:w="0" w:type="dxa"/>
              <w:right w:w="108" w:type="dxa"/>
            </w:tcMar>
            <w:vAlign w:val="center"/>
          </w:tcPr>
          <w:p w:rsidR="00134773" w:rsidRPr="00165533" w:rsidRDefault="00134773" w:rsidP="00134773">
            <w:pPr>
              <w:spacing w:line="240" w:lineRule="auto"/>
              <w:jc w:val="center"/>
              <w:rPr>
                <w:rFonts w:ascii="標楷體" w:eastAsia="標楷體" w:hAnsi="標楷體" w:cs="Times New Roman"/>
                <w:sz w:val="24"/>
                <w:szCs w:val="24"/>
                <w:shd w:val="clear" w:color="auto" w:fill="FFFFFF"/>
              </w:rPr>
            </w:pPr>
            <w:r w:rsidRPr="00165533">
              <w:rPr>
                <w:rFonts w:ascii="標楷體" w:eastAsia="標楷體" w:hAnsi="標楷體" w:cs="標楷體" w:hint="eastAsia"/>
                <w:sz w:val="24"/>
                <w:szCs w:val="24"/>
                <w:shd w:val="clear" w:color="auto" w:fill="FFFFFF"/>
              </w:rPr>
              <w:t>國教輔導團</w:t>
            </w:r>
          </w:p>
        </w:tc>
        <w:tc>
          <w:tcPr>
            <w:tcW w:w="500" w:type="pct"/>
            <w:vAlign w:val="center"/>
          </w:tcPr>
          <w:p w:rsidR="00134773" w:rsidRPr="00165533" w:rsidRDefault="00134773" w:rsidP="00134773">
            <w:pPr>
              <w:spacing w:before="100" w:beforeAutospacing="1" w:after="100" w:afterAutospacing="1" w:line="240" w:lineRule="auto"/>
              <w:jc w:val="center"/>
              <w:rPr>
                <w:rFonts w:ascii="標楷體" w:eastAsia="標楷體" w:hAnsi="標楷體" w:cs="Times New Roman"/>
                <w:sz w:val="24"/>
                <w:szCs w:val="24"/>
                <w:shd w:val="clear" w:color="auto" w:fill="FFFFFF"/>
              </w:rPr>
            </w:pPr>
          </w:p>
        </w:tc>
      </w:tr>
      <w:tr w:rsidR="00134773" w:rsidRPr="004E3468" w:rsidTr="00134773">
        <w:trPr>
          <w:trHeight w:val="763"/>
          <w:jc w:val="center"/>
        </w:trPr>
        <w:tc>
          <w:tcPr>
            <w:tcW w:w="1188" w:type="pct"/>
            <w:tcMar>
              <w:top w:w="0" w:type="dxa"/>
              <w:left w:w="108" w:type="dxa"/>
              <w:bottom w:w="0" w:type="dxa"/>
              <w:right w:w="108" w:type="dxa"/>
            </w:tcMar>
            <w:vAlign w:val="center"/>
          </w:tcPr>
          <w:p w:rsidR="00134773" w:rsidRPr="00165533" w:rsidRDefault="00134773" w:rsidP="00134773">
            <w:pPr>
              <w:suppressAutoHyphens/>
              <w:snapToGrid w:val="0"/>
              <w:spacing w:line="240" w:lineRule="auto"/>
              <w:jc w:val="center"/>
              <w:rPr>
                <w:rFonts w:ascii="標楷體" w:eastAsia="標楷體" w:hAnsi="標楷體" w:cs="標楷體"/>
                <w:sz w:val="24"/>
                <w:szCs w:val="24"/>
                <w:shd w:val="clear" w:color="auto" w:fill="FFFFFF"/>
              </w:rPr>
            </w:pPr>
            <w:r w:rsidRPr="00165533">
              <w:rPr>
                <w:rFonts w:ascii="標楷體" w:eastAsia="標楷體" w:hAnsi="標楷體" w:cs="標楷體"/>
                <w:sz w:val="24"/>
                <w:szCs w:val="24"/>
                <w:shd w:val="clear" w:color="auto" w:fill="FFFFFF"/>
              </w:rPr>
              <w:t>9:00-12:00</w:t>
            </w:r>
          </w:p>
        </w:tc>
        <w:tc>
          <w:tcPr>
            <w:tcW w:w="1656" w:type="pct"/>
            <w:tcMar>
              <w:top w:w="0" w:type="dxa"/>
              <w:left w:w="108" w:type="dxa"/>
              <w:bottom w:w="0" w:type="dxa"/>
              <w:right w:w="108" w:type="dxa"/>
            </w:tcMar>
            <w:vAlign w:val="center"/>
          </w:tcPr>
          <w:p w:rsidR="00134773" w:rsidRDefault="00134773" w:rsidP="00134773">
            <w:pPr>
              <w:spacing w:line="240" w:lineRule="auto"/>
              <w:jc w:val="center"/>
              <w:rPr>
                <w:rFonts w:ascii="標楷體" w:eastAsia="標楷體" w:hAnsi="標楷體" w:cs="標楷體"/>
                <w:sz w:val="24"/>
                <w:szCs w:val="24"/>
                <w:shd w:val="clear" w:color="auto" w:fill="FFFFFF"/>
              </w:rPr>
            </w:pPr>
            <w:proofErr w:type="gramStart"/>
            <w:r w:rsidRPr="00165533">
              <w:rPr>
                <w:rFonts w:ascii="標楷體" w:eastAsia="標楷體" w:hAnsi="標楷體" w:cs="標楷體" w:hint="eastAsia"/>
                <w:sz w:val="24"/>
                <w:szCs w:val="24"/>
                <w:shd w:val="clear" w:color="auto" w:fill="FFFFFF"/>
              </w:rPr>
              <w:t>桌遊實</w:t>
            </w:r>
            <w:proofErr w:type="gramEnd"/>
            <w:r w:rsidRPr="00165533">
              <w:rPr>
                <w:rFonts w:ascii="標楷體" w:eastAsia="標楷體" w:hAnsi="標楷體" w:cs="標楷體" w:hint="eastAsia"/>
                <w:sz w:val="24"/>
                <w:szCs w:val="24"/>
                <w:shd w:val="clear" w:color="auto" w:fill="FFFFFF"/>
              </w:rPr>
              <w:t>作與</w:t>
            </w:r>
            <w:proofErr w:type="gramStart"/>
            <w:r w:rsidRPr="00165533">
              <w:rPr>
                <w:rFonts w:ascii="標楷體" w:eastAsia="標楷體" w:hAnsi="標楷體" w:cs="標楷體" w:hint="eastAsia"/>
                <w:sz w:val="24"/>
                <w:szCs w:val="24"/>
                <w:shd w:val="clear" w:color="auto" w:fill="FFFFFF"/>
              </w:rPr>
              <w:t>思辯</w:t>
            </w:r>
            <w:proofErr w:type="gramEnd"/>
            <w:r w:rsidRPr="00165533">
              <w:rPr>
                <w:rFonts w:ascii="標楷體" w:eastAsia="標楷體" w:hAnsi="標楷體" w:cs="標楷體" w:hint="eastAsia"/>
                <w:sz w:val="24"/>
                <w:szCs w:val="24"/>
                <w:shd w:val="clear" w:color="auto" w:fill="FFFFFF"/>
              </w:rPr>
              <w:t>討論</w:t>
            </w:r>
          </w:p>
          <w:p w:rsidR="00134773" w:rsidRPr="00165533" w:rsidRDefault="00134773" w:rsidP="00134773">
            <w:pPr>
              <w:spacing w:line="240" w:lineRule="auto"/>
              <w:jc w:val="center"/>
              <w:rPr>
                <w:rFonts w:ascii="標楷體" w:eastAsia="標楷體" w:hAnsi="標楷體" w:cs="Times New Roman"/>
                <w:sz w:val="24"/>
                <w:szCs w:val="24"/>
                <w:shd w:val="clear" w:color="auto" w:fill="FFFFFF"/>
              </w:rPr>
            </w:pPr>
            <w:r w:rsidRPr="00165533">
              <w:rPr>
                <w:rFonts w:ascii="標楷體" w:eastAsia="標楷體" w:hAnsi="標楷體" w:cs="標楷體" w:hint="eastAsia"/>
                <w:sz w:val="24"/>
                <w:szCs w:val="24"/>
                <w:shd w:val="clear" w:color="auto" w:fill="FFFFFF"/>
              </w:rPr>
              <w:t>政策面面觀</w:t>
            </w:r>
          </w:p>
        </w:tc>
        <w:tc>
          <w:tcPr>
            <w:tcW w:w="1656" w:type="pct"/>
            <w:tcMar>
              <w:top w:w="0" w:type="dxa"/>
              <w:left w:w="108" w:type="dxa"/>
              <w:bottom w:w="0" w:type="dxa"/>
              <w:right w:w="108" w:type="dxa"/>
            </w:tcMar>
            <w:vAlign w:val="center"/>
          </w:tcPr>
          <w:p w:rsidR="00134773" w:rsidRDefault="00134773" w:rsidP="00134773">
            <w:pPr>
              <w:spacing w:line="240" w:lineRule="auto"/>
              <w:jc w:val="center"/>
              <w:rPr>
                <w:rFonts w:ascii="標楷體" w:eastAsia="標楷體" w:hAnsi="標楷體" w:cs="標楷體"/>
                <w:sz w:val="24"/>
                <w:szCs w:val="24"/>
              </w:rPr>
            </w:pPr>
            <w:proofErr w:type="gramStart"/>
            <w:r w:rsidRPr="00165533">
              <w:rPr>
                <w:rFonts w:ascii="標楷體" w:eastAsia="標楷體" w:hAnsi="標楷體" w:cs="標楷體" w:hint="eastAsia"/>
                <w:sz w:val="24"/>
                <w:szCs w:val="24"/>
              </w:rPr>
              <w:t>阿普蛙</w:t>
            </w:r>
            <w:proofErr w:type="gramEnd"/>
            <w:r w:rsidRPr="00165533">
              <w:rPr>
                <w:rFonts w:ascii="標楷體" w:eastAsia="標楷體" w:hAnsi="標楷體" w:cs="標楷體" w:hint="eastAsia"/>
                <w:sz w:val="24"/>
                <w:szCs w:val="24"/>
              </w:rPr>
              <w:t>工作室團隊</w:t>
            </w:r>
          </w:p>
          <w:p w:rsidR="00134773" w:rsidRPr="00165533" w:rsidRDefault="00134773" w:rsidP="00134773">
            <w:pPr>
              <w:spacing w:line="240" w:lineRule="auto"/>
              <w:jc w:val="center"/>
              <w:rPr>
                <w:rFonts w:ascii="標楷體" w:eastAsia="標楷體" w:hAnsi="標楷體" w:cs="Times New Roman"/>
                <w:sz w:val="24"/>
                <w:szCs w:val="24"/>
              </w:rPr>
            </w:pPr>
            <w:r>
              <w:rPr>
                <w:rFonts w:ascii="標楷體" w:eastAsia="標楷體" w:hAnsi="標楷體" w:cs="標楷體" w:hint="eastAsia"/>
                <w:sz w:val="24"/>
                <w:szCs w:val="24"/>
              </w:rPr>
              <w:t>吳健毅先生</w:t>
            </w:r>
          </w:p>
        </w:tc>
        <w:tc>
          <w:tcPr>
            <w:tcW w:w="500" w:type="pct"/>
            <w:vAlign w:val="center"/>
          </w:tcPr>
          <w:p w:rsidR="00134773" w:rsidRPr="00165533" w:rsidRDefault="00134773" w:rsidP="00134773">
            <w:pPr>
              <w:spacing w:before="100" w:beforeAutospacing="1" w:after="100" w:afterAutospacing="1" w:line="240" w:lineRule="auto"/>
              <w:jc w:val="center"/>
              <w:rPr>
                <w:rFonts w:ascii="標楷體" w:eastAsia="標楷體" w:hAnsi="標楷體" w:cs="Times New Roman"/>
                <w:sz w:val="24"/>
                <w:szCs w:val="24"/>
                <w:shd w:val="clear" w:color="auto" w:fill="FFFFFF"/>
              </w:rPr>
            </w:pPr>
          </w:p>
        </w:tc>
      </w:tr>
      <w:tr w:rsidR="00134773" w:rsidRPr="004E3468" w:rsidTr="00134773">
        <w:trPr>
          <w:trHeight w:val="623"/>
          <w:jc w:val="center"/>
        </w:trPr>
        <w:tc>
          <w:tcPr>
            <w:tcW w:w="1188" w:type="pct"/>
            <w:tcMar>
              <w:top w:w="0" w:type="dxa"/>
              <w:left w:w="108" w:type="dxa"/>
              <w:bottom w:w="0" w:type="dxa"/>
              <w:right w:w="108" w:type="dxa"/>
            </w:tcMar>
            <w:vAlign w:val="center"/>
          </w:tcPr>
          <w:p w:rsidR="00134773" w:rsidRPr="00165533" w:rsidRDefault="00134773" w:rsidP="00134773">
            <w:pPr>
              <w:suppressAutoHyphens/>
              <w:snapToGrid w:val="0"/>
              <w:spacing w:line="240" w:lineRule="auto"/>
              <w:jc w:val="center"/>
              <w:rPr>
                <w:rFonts w:ascii="標楷體" w:eastAsia="標楷體" w:hAnsi="標楷體" w:cs="標楷體"/>
                <w:sz w:val="24"/>
                <w:szCs w:val="24"/>
                <w:shd w:val="clear" w:color="auto" w:fill="FFFFFF"/>
              </w:rPr>
            </w:pPr>
            <w:r w:rsidRPr="00165533">
              <w:rPr>
                <w:rFonts w:ascii="標楷體" w:eastAsia="標楷體" w:hAnsi="標楷體" w:cs="標楷體"/>
                <w:sz w:val="24"/>
                <w:szCs w:val="24"/>
                <w:shd w:val="clear" w:color="auto" w:fill="FFFFFF"/>
              </w:rPr>
              <w:t>12:00-14:00</w:t>
            </w:r>
          </w:p>
        </w:tc>
        <w:tc>
          <w:tcPr>
            <w:tcW w:w="1656" w:type="pct"/>
            <w:tcMar>
              <w:top w:w="0" w:type="dxa"/>
              <w:left w:w="108" w:type="dxa"/>
              <w:bottom w:w="0" w:type="dxa"/>
              <w:right w:w="108" w:type="dxa"/>
            </w:tcMar>
            <w:vAlign w:val="center"/>
          </w:tcPr>
          <w:p w:rsidR="00134773" w:rsidRPr="00165533" w:rsidRDefault="00134773" w:rsidP="00134773">
            <w:pPr>
              <w:spacing w:line="240" w:lineRule="auto"/>
              <w:jc w:val="center"/>
              <w:rPr>
                <w:rFonts w:ascii="標楷體" w:eastAsia="標楷體" w:hAnsi="標楷體" w:cs="Times New Roman"/>
                <w:sz w:val="24"/>
                <w:szCs w:val="24"/>
                <w:shd w:val="clear" w:color="auto" w:fill="FFFFFF"/>
              </w:rPr>
            </w:pPr>
            <w:r w:rsidRPr="00165533">
              <w:rPr>
                <w:rFonts w:ascii="標楷體" w:eastAsia="標楷體" w:hAnsi="標楷體" w:cs="標楷體" w:hint="eastAsia"/>
                <w:sz w:val="24"/>
                <w:szCs w:val="24"/>
                <w:shd w:val="clear" w:color="auto" w:fill="FFFFFF"/>
              </w:rPr>
              <w:t>休息</w:t>
            </w:r>
            <w:r w:rsidR="00E247DF">
              <w:rPr>
                <w:rFonts w:ascii="標楷體" w:eastAsia="標楷體" w:hAnsi="標楷體" w:cs="標楷體" w:hint="eastAsia"/>
                <w:sz w:val="24"/>
                <w:szCs w:val="24"/>
                <w:shd w:val="clear" w:color="auto" w:fill="FFFFFF"/>
              </w:rPr>
              <w:t>、午餐</w:t>
            </w:r>
          </w:p>
        </w:tc>
        <w:tc>
          <w:tcPr>
            <w:tcW w:w="1656" w:type="pct"/>
            <w:tcMar>
              <w:top w:w="0" w:type="dxa"/>
              <w:left w:w="108" w:type="dxa"/>
              <w:bottom w:w="0" w:type="dxa"/>
              <w:right w:w="108" w:type="dxa"/>
            </w:tcMar>
            <w:vAlign w:val="center"/>
          </w:tcPr>
          <w:p w:rsidR="00134773" w:rsidRPr="00165533" w:rsidRDefault="00134773" w:rsidP="00134773">
            <w:pPr>
              <w:spacing w:line="240" w:lineRule="auto"/>
              <w:jc w:val="center"/>
              <w:rPr>
                <w:rFonts w:ascii="標楷體" w:eastAsia="標楷體" w:hAnsi="標楷體" w:cs="Times New Roman"/>
                <w:sz w:val="24"/>
                <w:szCs w:val="24"/>
                <w:shd w:val="clear" w:color="auto" w:fill="FFFFFF"/>
              </w:rPr>
            </w:pPr>
            <w:r w:rsidRPr="00165533">
              <w:rPr>
                <w:rFonts w:ascii="標楷體" w:eastAsia="標楷體" w:hAnsi="標楷體" w:cs="標楷體" w:hint="eastAsia"/>
                <w:sz w:val="24"/>
                <w:szCs w:val="24"/>
                <w:shd w:val="clear" w:color="auto" w:fill="FFFFFF"/>
              </w:rPr>
              <w:t>國教輔導團</w:t>
            </w:r>
          </w:p>
        </w:tc>
        <w:tc>
          <w:tcPr>
            <w:tcW w:w="500" w:type="pct"/>
            <w:vAlign w:val="center"/>
          </w:tcPr>
          <w:p w:rsidR="00134773" w:rsidRPr="00165533" w:rsidRDefault="00134773" w:rsidP="00134773">
            <w:pPr>
              <w:spacing w:before="100" w:beforeAutospacing="1" w:after="100" w:afterAutospacing="1" w:line="240" w:lineRule="auto"/>
              <w:jc w:val="center"/>
              <w:rPr>
                <w:rFonts w:ascii="標楷體" w:eastAsia="標楷體" w:hAnsi="標楷體" w:cs="Times New Roman"/>
                <w:sz w:val="24"/>
                <w:szCs w:val="24"/>
                <w:shd w:val="clear" w:color="auto" w:fill="FFFFFF"/>
              </w:rPr>
            </w:pPr>
          </w:p>
        </w:tc>
      </w:tr>
      <w:tr w:rsidR="00134773" w:rsidRPr="004E3468" w:rsidTr="00134773">
        <w:trPr>
          <w:trHeight w:val="635"/>
          <w:jc w:val="center"/>
        </w:trPr>
        <w:tc>
          <w:tcPr>
            <w:tcW w:w="1188" w:type="pct"/>
            <w:tcMar>
              <w:top w:w="0" w:type="dxa"/>
              <w:left w:w="108" w:type="dxa"/>
              <w:bottom w:w="0" w:type="dxa"/>
              <w:right w:w="108" w:type="dxa"/>
            </w:tcMar>
            <w:vAlign w:val="center"/>
          </w:tcPr>
          <w:p w:rsidR="00134773" w:rsidRPr="00165533" w:rsidRDefault="00134773" w:rsidP="00134773">
            <w:pPr>
              <w:suppressAutoHyphens/>
              <w:snapToGrid w:val="0"/>
              <w:spacing w:line="240" w:lineRule="auto"/>
              <w:jc w:val="center"/>
              <w:rPr>
                <w:rFonts w:ascii="標楷體" w:eastAsia="標楷體" w:hAnsi="標楷體" w:cs="標楷體"/>
                <w:sz w:val="24"/>
                <w:szCs w:val="24"/>
                <w:shd w:val="clear" w:color="auto" w:fill="FFFFFF"/>
              </w:rPr>
            </w:pPr>
            <w:r w:rsidRPr="00165533">
              <w:rPr>
                <w:rFonts w:ascii="標楷體" w:eastAsia="標楷體" w:hAnsi="標楷體" w:cs="標楷體"/>
                <w:sz w:val="24"/>
                <w:szCs w:val="24"/>
                <w:shd w:val="clear" w:color="auto" w:fill="FFFFFF"/>
              </w:rPr>
              <w:t>14:00-17:00</w:t>
            </w:r>
          </w:p>
        </w:tc>
        <w:tc>
          <w:tcPr>
            <w:tcW w:w="1656" w:type="pct"/>
            <w:tcMar>
              <w:top w:w="0" w:type="dxa"/>
              <w:left w:w="108" w:type="dxa"/>
              <w:bottom w:w="0" w:type="dxa"/>
              <w:right w:w="108" w:type="dxa"/>
            </w:tcMar>
            <w:vAlign w:val="center"/>
          </w:tcPr>
          <w:p w:rsidR="00134773" w:rsidRDefault="00134773" w:rsidP="00134773">
            <w:pPr>
              <w:spacing w:line="240" w:lineRule="auto"/>
              <w:jc w:val="center"/>
              <w:rPr>
                <w:rFonts w:ascii="標楷體" w:eastAsia="標楷體" w:hAnsi="標楷體" w:cs="標楷體"/>
                <w:sz w:val="24"/>
                <w:szCs w:val="24"/>
                <w:shd w:val="clear" w:color="auto" w:fill="FFFFFF"/>
              </w:rPr>
            </w:pPr>
            <w:proofErr w:type="gramStart"/>
            <w:r w:rsidRPr="00165533">
              <w:rPr>
                <w:rFonts w:ascii="標楷體" w:eastAsia="標楷體" w:hAnsi="標楷體" w:cs="標楷體" w:hint="eastAsia"/>
                <w:sz w:val="24"/>
                <w:szCs w:val="24"/>
                <w:shd w:val="clear" w:color="auto" w:fill="FFFFFF"/>
              </w:rPr>
              <w:t>桌遊實</w:t>
            </w:r>
            <w:proofErr w:type="gramEnd"/>
            <w:r w:rsidRPr="00165533">
              <w:rPr>
                <w:rFonts w:ascii="標楷體" w:eastAsia="標楷體" w:hAnsi="標楷體" w:cs="標楷體" w:hint="eastAsia"/>
                <w:sz w:val="24"/>
                <w:szCs w:val="24"/>
                <w:shd w:val="clear" w:color="auto" w:fill="FFFFFF"/>
              </w:rPr>
              <w:t>作與反思分享</w:t>
            </w:r>
          </w:p>
          <w:p w:rsidR="00134773" w:rsidRPr="00165533" w:rsidRDefault="00134773" w:rsidP="00134773">
            <w:pPr>
              <w:spacing w:line="240" w:lineRule="auto"/>
              <w:jc w:val="center"/>
              <w:rPr>
                <w:rFonts w:ascii="標楷體" w:eastAsia="標楷體" w:hAnsi="標楷體" w:cs="Times New Roman"/>
                <w:sz w:val="24"/>
                <w:szCs w:val="24"/>
                <w:shd w:val="clear" w:color="auto" w:fill="FFFFFF"/>
              </w:rPr>
            </w:pPr>
            <w:r w:rsidRPr="00165533">
              <w:rPr>
                <w:rFonts w:ascii="標楷體" w:eastAsia="標楷體" w:hAnsi="標楷體" w:cs="標楷體" w:hint="eastAsia"/>
                <w:sz w:val="24"/>
                <w:szCs w:val="24"/>
                <w:shd w:val="clear" w:color="auto" w:fill="FFFFFF"/>
              </w:rPr>
              <w:t>教學團隊帶領策略</w:t>
            </w:r>
          </w:p>
        </w:tc>
        <w:tc>
          <w:tcPr>
            <w:tcW w:w="1656" w:type="pct"/>
            <w:tcMar>
              <w:top w:w="0" w:type="dxa"/>
              <w:left w:w="108" w:type="dxa"/>
              <w:bottom w:w="0" w:type="dxa"/>
              <w:right w:w="108" w:type="dxa"/>
            </w:tcMar>
            <w:vAlign w:val="center"/>
          </w:tcPr>
          <w:p w:rsidR="00134773" w:rsidRDefault="00134773" w:rsidP="00134773">
            <w:pPr>
              <w:spacing w:line="240" w:lineRule="auto"/>
              <w:jc w:val="center"/>
              <w:rPr>
                <w:rFonts w:ascii="標楷體" w:eastAsia="標楷體" w:hAnsi="標楷體" w:cs="標楷體"/>
                <w:sz w:val="24"/>
                <w:szCs w:val="24"/>
              </w:rPr>
            </w:pPr>
            <w:proofErr w:type="gramStart"/>
            <w:r w:rsidRPr="00165533">
              <w:rPr>
                <w:rFonts w:ascii="標楷體" w:eastAsia="標楷體" w:hAnsi="標楷體" w:cs="標楷體" w:hint="eastAsia"/>
                <w:sz w:val="24"/>
                <w:szCs w:val="24"/>
              </w:rPr>
              <w:t>阿普蛙</w:t>
            </w:r>
            <w:proofErr w:type="gramEnd"/>
            <w:r w:rsidRPr="00165533">
              <w:rPr>
                <w:rFonts w:ascii="標楷體" w:eastAsia="標楷體" w:hAnsi="標楷體" w:cs="標楷體" w:hint="eastAsia"/>
                <w:sz w:val="24"/>
                <w:szCs w:val="24"/>
              </w:rPr>
              <w:t>工作室團隊</w:t>
            </w:r>
          </w:p>
          <w:p w:rsidR="00134773" w:rsidRPr="00165533" w:rsidRDefault="00134773" w:rsidP="00134773">
            <w:pPr>
              <w:spacing w:line="240" w:lineRule="auto"/>
              <w:jc w:val="center"/>
              <w:rPr>
                <w:rFonts w:ascii="標楷體" w:eastAsia="標楷體" w:hAnsi="標楷體" w:cs="Times New Roman"/>
                <w:sz w:val="24"/>
                <w:szCs w:val="24"/>
                <w:shd w:val="clear" w:color="auto" w:fill="FFFFFF"/>
              </w:rPr>
            </w:pPr>
            <w:r>
              <w:rPr>
                <w:rFonts w:ascii="標楷體" w:eastAsia="標楷體" w:hAnsi="標楷體" w:cs="標楷體" w:hint="eastAsia"/>
                <w:sz w:val="24"/>
                <w:szCs w:val="24"/>
              </w:rPr>
              <w:t>吳健毅先生</w:t>
            </w:r>
          </w:p>
        </w:tc>
        <w:tc>
          <w:tcPr>
            <w:tcW w:w="500" w:type="pct"/>
            <w:vAlign w:val="center"/>
          </w:tcPr>
          <w:p w:rsidR="00134773" w:rsidRPr="00165533" w:rsidRDefault="00134773" w:rsidP="00134773">
            <w:pPr>
              <w:spacing w:before="100" w:beforeAutospacing="1" w:after="100" w:afterAutospacing="1" w:line="240" w:lineRule="auto"/>
              <w:jc w:val="center"/>
              <w:rPr>
                <w:rFonts w:ascii="標楷體" w:eastAsia="標楷體" w:hAnsi="標楷體" w:cs="Times New Roman"/>
                <w:sz w:val="24"/>
                <w:szCs w:val="24"/>
                <w:shd w:val="clear" w:color="auto" w:fill="FFFFFF"/>
              </w:rPr>
            </w:pPr>
          </w:p>
        </w:tc>
      </w:tr>
    </w:tbl>
    <w:p w:rsidR="00134773" w:rsidRPr="00165533" w:rsidRDefault="00134773" w:rsidP="00134773">
      <w:pPr>
        <w:spacing w:before="100" w:beforeAutospacing="1" w:line="500" w:lineRule="exact"/>
        <w:ind w:left="1982" w:hangingChars="707" w:hanging="1982"/>
        <w:rPr>
          <w:rFonts w:ascii="標楷體" w:eastAsia="標楷體" w:hAnsi="標楷體" w:cs="Times New Roman"/>
          <w:sz w:val="24"/>
          <w:szCs w:val="24"/>
        </w:rPr>
      </w:pPr>
      <w:r w:rsidRPr="001F4690">
        <w:rPr>
          <w:rFonts w:ascii="標楷體" w:eastAsia="標楷體" w:hAnsi="標楷體" w:cs="標楷體" w:hint="eastAsia"/>
          <w:b/>
          <w:bCs/>
          <w:sz w:val="28"/>
          <w:szCs w:val="28"/>
        </w:rPr>
        <w:t>陸、辦理地點</w:t>
      </w:r>
      <w:r w:rsidRPr="00165533">
        <w:rPr>
          <w:rFonts w:ascii="標楷體" w:eastAsia="標楷體" w:hAnsi="標楷體" w:cs="標楷體" w:hint="eastAsia"/>
          <w:b/>
          <w:bCs/>
          <w:sz w:val="28"/>
          <w:szCs w:val="28"/>
        </w:rPr>
        <w:t>：</w:t>
      </w:r>
      <w:r>
        <w:rPr>
          <w:rFonts w:ascii="標楷體" w:eastAsia="標楷體" w:hAnsi="標楷體" w:cs="標楷體" w:hint="eastAsia"/>
          <w:sz w:val="28"/>
          <w:szCs w:val="28"/>
        </w:rPr>
        <w:t>澎湖縣</w:t>
      </w:r>
      <w:r w:rsidR="00176C63">
        <w:rPr>
          <w:rFonts w:ascii="標楷體" w:eastAsia="標楷體" w:hAnsi="標楷體" w:cs="標楷體" w:hint="eastAsia"/>
          <w:sz w:val="28"/>
          <w:szCs w:val="28"/>
        </w:rPr>
        <w:t>國教輔導團大會議室</w:t>
      </w:r>
    </w:p>
    <w:p w:rsidR="00134773" w:rsidRPr="001F4690" w:rsidRDefault="00134773" w:rsidP="00134773">
      <w:pPr>
        <w:spacing w:before="100" w:beforeAutospacing="1" w:line="500" w:lineRule="exact"/>
        <w:ind w:left="2881" w:rightChars="-64" w:right="-134" w:hangingChars="1028" w:hanging="2881"/>
        <w:rPr>
          <w:rFonts w:ascii="標楷體" w:eastAsia="標楷體" w:hAnsi="標楷體" w:cs="Times New Roman"/>
          <w:b/>
          <w:bCs/>
          <w:sz w:val="28"/>
          <w:szCs w:val="28"/>
        </w:rPr>
      </w:pPr>
      <w:proofErr w:type="gramStart"/>
      <w:r w:rsidRPr="001F4690">
        <w:rPr>
          <w:rFonts w:ascii="標楷體" w:eastAsia="標楷體" w:hAnsi="標楷體" w:cs="標楷體" w:hint="eastAsia"/>
          <w:b/>
          <w:bCs/>
          <w:sz w:val="28"/>
          <w:szCs w:val="28"/>
        </w:rPr>
        <w:t>柒</w:t>
      </w:r>
      <w:proofErr w:type="gramEnd"/>
      <w:r w:rsidRPr="001F4690">
        <w:rPr>
          <w:rFonts w:ascii="標楷體" w:eastAsia="標楷體" w:hAnsi="標楷體" w:cs="標楷體" w:hint="eastAsia"/>
          <w:b/>
          <w:bCs/>
          <w:sz w:val="28"/>
          <w:szCs w:val="28"/>
        </w:rPr>
        <w:t>、參加對象及人數</w:t>
      </w:r>
    </w:p>
    <w:p w:rsidR="00134773" w:rsidRPr="00165533" w:rsidRDefault="00134773" w:rsidP="00134773">
      <w:pPr>
        <w:spacing w:line="500" w:lineRule="exact"/>
        <w:ind w:leftChars="100" w:left="210" w:rightChars="-64" w:right="-134"/>
        <w:rPr>
          <w:rFonts w:ascii="標楷體" w:eastAsia="標楷體" w:hAnsi="標楷體" w:cs="Times New Roman"/>
          <w:sz w:val="24"/>
          <w:szCs w:val="24"/>
        </w:rPr>
      </w:pPr>
      <w:r w:rsidRPr="00165533">
        <w:rPr>
          <w:rFonts w:ascii="標楷體" w:eastAsia="標楷體" w:hAnsi="標楷體" w:cs="標楷體" w:hint="eastAsia"/>
          <w:sz w:val="24"/>
          <w:szCs w:val="24"/>
        </w:rPr>
        <w:t>一、教育處相關人員。</w:t>
      </w:r>
    </w:p>
    <w:p w:rsidR="00134773" w:rsidRPr="00165533" w:rsidRDefault="00134773" w:rsidP="00134773">
      <w:pPr>
        <w:spacing w:line="500" w:lineRule="exact"/>
        <w:ind w:leftChars="100" w:left="210" w:rightChars="-64" w:right="-134"/>
        <w:rPr>
          <w:rFonts w:ascii="標楷體" w:eastAsia="標楷體" w:hAnsi="標楷體" w:cs="Times New Roman"/>
          <w:sz w:val="24"/>
          <w:szCs w:val="24"/>
        </w:rPr>
      </w:pPr>
      <w:r w:rsidRPr="00165533">
        <w:rPr>
          <w:rFonts w:ascii="標楷體" w:eastAsia="標楷體" w:hAnsi="標楷體" w:cs="標楷體" w:hint="eastAsia"/>
          <w:sz w:val="24"/>
          <w:szCs w:val="24"/>
        </w:rPr>
        <w:t>二、國民教育教學輔導團國中小學各領域召集人及輔導員。</w:t>
      </w:r>
    </w:p>
    <w:p w:rsidR="00134773" w:rsidRPr="001F4690" w:rsidRDefault="00134773" w:rsidP="00134773">
      <w:pPr>
        <w:tabs>
          <w:tab w:val="num" w:pos="2220"/>
        </w:tabs>
        <w:spacing w:before="100" w:beforeAutospacing="1" w:line="500" w:lineRule="exact"/>
        <w:rPr>
          <w:rFonts w:ascii="標楷體" w:eastAsia="標楷體" w:hAnsi="標楷體" w:cs="Times New Roman"/>
          <w:b/>
          <w:bCs/>
          <w:sz w:val="28"/>
          <w:szCs w:val="28"/>
        </w:rPr>
      </w:pPr>
      <w:r w:rsidRPr="001F4690">
        <w:rPr>
          <w:rFonts w:ascii="標楷體" w:eastAsia="標楷體" w:hAnsi="標楷體" w:cs="標楷體" w:hint="eastAsia"/>
          <w:b/>
          <w:bCs/>
          <w:sz w:val="28"/>
          <w:szCs w:val="28"/>
        </w:rPr>
        <w:t>捌、預期成果</w:t>
      </w:r>
    </w:p>
    <w:p w:rsidR="00134773" w:rsidRPr="00165533" w:rsidRDefault="00134773" w:rsidP="00134773">
      <w:pPr>
        <w:spacing w:line="500" w:lineRule="exact"/>
        <w:ind w:leftChars="100" w:left="210"/>
        <w:jc w:val="both"/>
        <w:rPr>
          <w:rFonts w:ascii="標楷體" w:eastAsia="標楷體" w:hAnsi="標楷體" w:cs="Times New Roman"/>
          <w:sz w:val="24"/>
          <w:szCs w:val="24"/>
        </w:rPr>
      </w:pPr>
      <w:r w:rsidRPr="00165533">
        <w:rPr>
          <w:rFonts w:ascii="標楷體" w:eastAsia="標楷體" w:hAnsi="標楷體" w:cs="標楷體" w:hint="eastAsia"/>
          <w:sz w:val="24"/>
          <w:szCs w:val="24"/>
        </w:rPr>
        <w:t>一、予各領域輔導員團</w:t>
      </w:r>
      <w:proofErr w:type="gramStart"/>
      <w:r w:rsidRPr="00165533">
        <w:rPr>
          <w:rFonts w:ascii="標楷體" w:eastAsia="標楷體" w:hAnsi="標楷體" w:cs="標楷體" w:hint="eastAsia"/>
          <w:sz w:val="24"/>
          <w:szCs w:val="24"/>
        </w:rPr>
        <w:t>務</w:t>
      </w:r>
      <w:proofErr w:type="gramEnd"/>
      <w:r w:rsidRPr="00165533">
        <w:rPr>
          <w:rFonts w:ascii="標楷體" w:eastAsia="標楷體" w:hAnsi="標楷體" w:cs="標楷體" w:hint="eastAsia"/>
          <w:sz w:val="24"/>
          <w:szCs w:val="24"/>
        </w:rPr>
        <w:t>規劃與執行能力，提升團</w:t>
      </w:r>
      <w:proofErr w:type="gramStart"/>
      <w:r w:rsidRPr="00165533">
        <w:rPr>
          <w:rFonts w:ascii="標楷體" w:eastAsia="標楷體" w:hAnsi="標楷體" w:cs="標楷體" w:hint="eastAsia"/>
          <w:sz w:val="24"/>
          <w:szCs w:val="24"/>
        </w:rPr>
        <w:t>務</w:t>
      </w:r>
      <w:proofErr w:type="gramEnd"/>
      <w:r w:rsidRPr="00165533">
        <w:rPr>
          <w:rFonts w:ascii="標楷體" w:eastAsia="標楷體" w:hAnsi="標楷體" w:cs="標楷體" w:hint="eastAsia"/>
          <w:sz w:val="24"/>
          <w:szCs w:val="24"/>
        </w:rPr>
        <w:t>運作之效益。</w:t>
      </w:r>
    </w:p>
    <w:p w:rsidR="00134773" w:rsidRPr="00165533" w:rsidRDefault="00134773" w:rsidP="00134773">
      <w:pPr>
        <w:spacing w:line="500" w:lineRule="exact"/>
        <w:ind w:leftChars="100" w:left="210"/>
        <w:jc w:val="both"/>
        <w:rPr>
          <w:rFonts w:ascii="標楷體" w:eastAsia="標楷體" w:hAnsi="標楷體" w:cs="Times New Roman"/>
          <w:b/>
          <w:bCs/>
          <w:sz w:val="24"/>
          <w:szCs w:val="24"/>
        </w:rPr>
      </w:pPr>
      <w:r w:rsidRPr="00165533">
        <w:rPr>
          <w:rFonts w:ascii="標楷體" w:eastAsia="標楷體" w:hAnsi="標楷體" w:cs="標楷體" w:hint="eastAsia"/>
          <w:sz w:val="24"/>
          <w:szCs w:val="24"/>
        </w:rPr>
        <w:t>二、提升輔導員輔導教師之專業知能，期帶領縣內教師活化教學，提升教學品質。</w:t>
      </w:r>
    </w:p>
    <w:p w:rsidR="00134773" w:rsidRPr="001F4690" w:rsidRDefault="00134773" w:rsidP="00134773">
      <w:pPr>
        <w:spacing w:before="100" w:beforeAutospacing="1" w:line="500" w:lineRule="exact"/>
        <w:jc w:val="both"/>
        <w:rPr>
          <w:rFonts w:ascii="標楷體" w:eastAsia="標楷體" w:hAnsi="標楷體" w:cs="Times New Roman"/>
          <w:b/>
          <w:bCs/>
          <w:sz w:val="28"/>
          <w:szCs w:val="28"/>
        </w:rPr>
      </w:pPr>
      <w:r w:rsidRPr="001F4690">
        <w:rPr>
          <w:rFonts w:ascii="標楷體" w:eastAsia="標楷體" w:hAnsi="標楷體" w:cs="標楷體" w:hint="eastAsia"/>
          <w:b/>
          <w:bCs/>
          <w:sz w:val="28"/>
          <w:szCs w:val="28"/>
        </w:rPr>
        <w:t>玖、經費來源</w:t>
      </w:r>
      <w:r w:rsidRPr="001F4690">
        <w:rPr>
          <w:rFonts w:ascii="標楷體" w:eastAsia="標楷體" w:hAnsi="標楷體" w:cs="Times New Roman"/>
          <w:b/>
          <w:bCs/>
          <w:sz w:val="28"/>
          <w:szCs w:val="28"/>
        </w:rPr>
        <w:br/>
      </w:r>
      <w:r>
        <w:rPr>
          <w:rFonts w:ascii="標楷體" w:eastAsia="標楷體" w:hAnsi="標楷體" w:cs="標楷體"/>
          <w:b/>
          <w:bCs/>
          <w:sz w:val="28"/>
          <w:szCs w:val="28"/>
        </w:rPr>
        <w:t xml:space="preserve">    </w:t>
      </w:r>
      <w:r>
        <w:rPr>
          <w:rFonts w:ascii="標楷體" w:eastAsia="標楷體" w:hAnsi="標楷體" w:cs="標楷體" w:hint="eastAsia"/>
          <w:sz w:val="24"/>
          <w:szCs w:val="24"/>
        </w:rPr>
        <w:t>教育部國民及學前教育署</w:t>
      </w:r>
      <w:r w:rsidRPr="00165533">
        <w:rPr>
          <w:rFonts w:ascii="標楷體" w:eastAsia="標楷體" w:hAnsi="標楷體" w:cs="標楷體" w:hint="eastAsia"/>
          <w:sz w:val="24"/>
          <w:szCs w:val="24"/>
        </w:rPr>
        <w:t>補助辦理十二年國民基本教育精進國民中學及國民小學教學品質要點相關預算項下支應，經費概算如附件</w:t>
      </w:r>
      <w:r w:rsidRPr="00165533">
        <w:rPr>
          <w:rFonts w:ascii="標楷體" w:eastAsia="標楷體" w:hAnsi="標楷體" w:cs="標楷體"/>
          <w:sz w:val="24"/>
          <w:szCs w:val="24"/>
        </w:rPr>
        <w:t>E-3-1</w:t>
      </w:r>
      <w:r w:rsidRPr="00165533">
        <w:rPr>
          <w:rFonts w:ascii="標楷體" w:eastAsia="標楷體" w:hAnsi="標楷體" w:cs="標楷體" w:hint="eastAsia"/>
          <w:sz w:val="24"/>
          <w:szCs w:val="24"/>
        </w:rPr>
        <w:t>。</w:t>
      </w:r>
    </w:p>
    <w:p w:rsidR="00134773" w:rsidRPr="000332A1" w:rsidRDefault="00134773" w:rsidP="00134773">
      <w:pPr>
        <w:spacing w:before="100" w:beforeAutospacing="1" w:after="100" w:afterAutospacing="1"/>
        <w:ind w:left="1640" w:hangingChars="585" w:hanging="1640"/>
        <w:rPr>
          <w:rFonts w:ascii="標楷體" w:eastAsia="標楷體" w:hAnsi="標楷體" w:cs="Times New Roman"/>
        </w:rPr>
      </w:pPr>
      <w:r w:rsidRPr="000332A1">
        <w:rPr>
          <w:rFonts w:ascii="標楷體" w:eastAsia="標楷體" w:hAnsi="標楷體" w:cs="標楷體" w:hint="eastAsia"/>
          <w:b/>
          <w:bCs/>
          <w:sz w:val="28"/>
          <w:szCs w:val="28"/>
        </w:rPr>
        <w:t>拾、獎勵：</w:t>
      </w:r>
      <w:r w:rsidRPr="00165533">
        <w:rPr>
          <w:rFonts w:ascii="標楷體" w:eastAsia="標楷體" w:hAnsi="標楷體" w:cs="標楷體" w:hint="eastAsia"/>
          <w:sz w:val="24"/>
          <w:szCs w:val="24"/>
        </w:rPr>
        <w:t>承辦本活動相關人員，依澎湖縣獎勵辦法辦理敘獎。</w:t>
      </w:r>
    </w:p>
    <w:p w:rsidR="006A5D82" w:rsidRPr="00134773" w:rsidRDefault="00134773" w:rsidP="003D2D6A">
      <w:pPr>
        <w:spacing w:before="100" w:beforeAutospacing="1" w:line="500" w:lineRule="exact"/>
      </w:pPr>
      <w:r w:rsidRPr="001F4690">
        <w:rPr>
          <w:rFonts w:ascii="標楷體" w:eastAsia="標楷體" w:hAnsi="標楷體" w:cs="標楷體" w:hint="eastAsia"/>
          <w:b/>
          <w:bCs/>
          <w:sz w:val="28"/>
          <w:szCs w:val="28"/>
        </w:rPr>
        <w:t>拾</w:t>
      </w:r>
      <w:r>
        <w:rPr>
          <w:rFonts w:ascii="標楷體" w:eastAsia="標楷體" w:hAnsi="標楷體" w:cs="標楷體" w:hint="eastAsia"/>
          <w:b/>
          <w:bCs/>
          <w:sz w:val="28"/>
          <w:szCs w:val="28"/>
        </w:rPr>
        <w:t>壹</w:t>
      </w:r>
      <w:r w:rsidRPr="001F4690">
        <w:rPr>
          <w:rFonts w:ascii="標楷體" w:eastAsia="標楷體" w:hAnsi="標楷體" w:cs="標楷體" w:hint="eastAsia"/>
          <w:b/>
          <w:bCs/>
          <w:sz w:val="28"/>
          <w:szCs w:val="28"/>
        </w:rPr>
        <w:t>、本計畫陳請縣政府核</w:t>
      </w:r>
      <w:proofErr w:type="gramStart"/>
      <w:r w:rsidRPr="001F4690">
        <w:rPr>
          <w:rFonts w:ascii="標楷體" w:eastAsia="標楷體" w:hAnsi="標楷體" w:cs="標楷體" w:hint="eastAsia"/>
          <w:b/>
          <w:bCs/>
          <w:sz w:val="28"/>
          <w:szCs w:val="28"/>
        </w:rPr>
        <w:t>可暨陳</w:t>
      </w:r>
      <w:proofErr w:type="gramEnd"/>
      <w:r w:rsidRPr="001F4690">
        <w:rPr>
          <w:rFonts w:ascii="標楷體" w:eastAsia="標楷體" w:hAnsi="標楷體" w:cs="標楷體" w:hint="eastAsia"/>
          <w:b/>
          <w:bCs/>
          <w:sz w:val="28"/>
          <w:szCs w:val="28"/>
        </w:rPr>
        <w:t>報</w:t>
      </w:r>
      <w:r>
        <w:rPr>
          <w:rFonts w:ascii="標楷體" w:eastAsia="標楷體" w:hAnsi="標楷體" w:cs="標楷體" w:hint="eastAsia"/>
          <w:b/>
          <w:bCs/>
          <w:sz w:val="28"/>
          <w:szCs w:val="28"/>
        </w:rPr>
        <w:t>教育部國民及學前教育署</w:t>
      </w:r>
      <w:r w:rsidRPr="001F4690">
        <w:rPr>
          <w:rFonts w:ascii="標楷體" w:eastAsia="標楷體" w:hAnsi="標楷體" w:cs="標楷體" w:hint="eastAsia"/>
          <w:b/>
          <w:bCs/>
          <w:sz w:val="28"/>
          <w:szCs w:val="28"/>
        </w:rPr>
        <w:t>核准後實施，修正時亦同之。</w:t>
      </w:r>
      <w:bookmarkStart w:id="0" w:name="_GoBack"/>
      <w:bookmarkEnd w:id="0"/>
    </w:p>
    <w:sectPr w:rsidR="006A5D82" w:rsidRPr="00134773" w:rsidSect="00987FE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405" w:rsidRDefault="00D32405" w:rsidP="00321A9D">
      <w:pPr>
        <w:spacing w:after="0" w:line="240" w:lineRule="auto"/>
      </w:pPr>
      <w:r>
        <w:separator/>
      </w:r>
    </w:p>
  </w:endnote>
  <w:endnote w:type="continuationSeparator" w:id="0">
    <w:p w:rsidR="00D32405" w:rsidRDefault="00D32405" w:rsidP="00321A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405" w:rsidRDefault="00D32405" w:rsidP="00321A9D">
      <w:pPr>
        <w:spacing w:after="0" w:line="240" w:lineRule="auto"/>
      </w:pPr>
      <w:r>
        <w:separator/>
      </w:r>
    </w:p>
  </w:footnote>
  <w:footnote w:type="continuationSeparator" w:id="0">
    <w:p w:rsidR="00D32405" w:rsidRDefault="00D32405" w:rsidP="00321A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4773"/>
    <w:rsid w:val="00051D70"/>
    <w:rsid w:val="00066003"/>
    <w:rsid w:val="00134773"/>
    <w:rsid w:val="00176C63"/>
    <w:rsid w:val="00273E9C"/>
    <w:rsid w:val="00321A9D"/>
    <w:rsid w:val="003D2D6A"/>
    <w:rsid w:val="00432553"/>
    <w:rsid w:val="00484EED"/>
    <w:rsid w:val="006A5D82"/>
    <w:rsid w:val="0085502D"/>
    <w:rsid w:val="00987FE9"/>
    <w:rsid w:val="00D32405"/>
    <w:rsid w:val="00D70F4B"/>
    <w:rsid w:val="00E247DF"/>
    <w:rsid w:val="00EC4F09"/>
    <w:rsid w:val="00F57D1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773"/>
    <w:pPr>
      <w:spacing w:after="120" w:line="264" w:lineRule="auto"/>
    </w:pPr>
    <w:rPr>
      <w:kern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21A9D"/>
    <w:pPr>
      <w:tabs>
        <w:tab w:val="center" w:pos="4153"/>
        <w:tab w:val="right" w:pos="8306"/>
      </w:tabs>
      <w:snapToGrid w:val="0"/>
    </w:pPr>
    <w:rPr>
      <w:sz w:val="20"/>
      <w:szCs w:val="20"/>
    </w:rPr>
  </w:style>
  <w:style w:type="character" w:customStyle="1" w:styleId="a4">
    <w:name w:val="頁首 字元"/>
    <w:basedOn w:val="a0"/>
    <w:link w:val="a3"/>
    <w:uiPriority w:val="99"/>
    <w:semiHidden/>
    <w:rsid w:val="00321A9D"/>
    <w:rPr>
      <w:kern w:val="0"/>
      <w:sz w:val="20"/>
      <w:szCs w:val="20"/>
    </w:rPr>
  </w:style>
  <w:style w:type="paragraph" w:styleId="a5">
    <w:name w:val="footer"/>
    <w:basedOn w:val="a"/>
    <w:link w:val="a6"/>
    <w:uiPriority w:val="99"/>
    <w:semiHidden/>
    <w:unhideWhenUsed/>
    <w:rsid w:val="00321A9D"/>
    <w:pPr>
      <w:tabs>
        <w:tab w:val="center" w:pos="4153"/>
        <w:tab w:val="right" w:pos="8306"/>
      </w:tabs>
      <w:snapToGrid w:val="0"/>
    </w:pPr>
    <w:rPr>
      <w:sz w:val="20"/>
      <w:szCs w:val="20"/>
    </w:rPr>
  </w:style>
  <w:style w:type="character" w:customStyle="1" w:styleId="a6">
    <w:name w:val="頁尾 字元"/>
    <w:basedOn w:val="a0"/>
    <w:link w:val="a5"/>
    <w:uiPriority w:val="99"/>
    <w:semiHidden/>
    <w:rsid w:val="00321A9D"/>
    <w:rPr>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773"/>
    <w:pPr>
      <w:spacing w:after="120" w:line="264" w:lineRule="auto"/>
    </w:pPr>
    <w:rPr>
      <w:kern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132</Words>
  <Characters>753</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fa55530</dc:creator>
  <cp:lastModifiedBy>user</cp:lastModifiedBy>
  <cp:revision>2</cp:revision>
  <dcterms:created xsi:type="dcterms:W3CDTF">2017-06-20T02:51:00Z</dcterms:created>
  <dcterms:modified xsi:type="dcterms:W3CDTF">2017-06-20T02:51:00Z</dcterms:modified>
</cp:coreProperties>
</file>