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B0" w:rsidRPr="00F327B0" w:rsidRDefault="00F327B0" w:rsidP="00F327B0">
      <w:pPr>
        <w:spacing w:line="600" w:lineRule="exact"/>
        <w:jc w:val="center"/>
        <w:rPr>
          <w:rFonts w:ascii="標楷體" w:eastAsia="標楷體" w:hAnsi="標楷體"/>
          <w:sz w:val="36"/>
          <w:szCs w:val="36"/>
        </w:rPr>
      </w:pPr>
      <w:r w:rsidRPr="00F327B0">
        <w:rPr>
          <w:rFonts w:ascii="標楷體" w:eastAsia="標楷體" w:hAnsi="標楷體" w:hint="eastAsia"/>
          <w:sz w:val="36"/>
          <w:szCs w:val="36"/>
        </w:rPr>
        <w:t>行政院人事行政總處地方行政研習中心「e學中心」</w:t>
      </w:r>
      <w:proofErr w:type="gramStart"/>
      <w:r w:rsidRPr="00F327B0">
        <w:rPr>
          <w:rFonts w:ascii="標楷體" w:eastAsia="標楷體" w:hAnsi="標楷體" w:hint="eastAsia"/>
          <w:sz w:val="36"/>
          <w:szCs w:val="36"/>
        </w:rPr>
        <w:t>104</w:t>
      </w:r>
      <w:proofErr w:type="gramEnd"/>
      <w:r w:rsidRPr="00F327B0">
        <w:rPr>
          <w:rFonts w:ascii="標楷體" w:eastAsia="標楷體" w:hAnsi="標楷體" w:hint="eastAsia"/>
          <w:sz w:val="36"/>
          <w:szCs w:val="36"/>
        </w:rPr>
        <w:t>年度廉政數位課程</w:t>
      </w:r>
      <w:r w:rsidR="00A0763D">
        <w:rPr>
          <w:rFonts w:ascii="標楷體" w:eastAsia="標楷體" w:hAnsi="標楷體" w:hint="eastAsia"/>
          <w:sz w:val="36"/>
          <w:szCs w:val="36"/>
        </w:rPr>
        <w:t>簡介</w:t>
      </w:r>
    </w:p>
    <w:p w:rsidR="00F327B0" w:rsidRPr="00F327B0" w:rsidRDefault="00F327B0" w:rsidP="00F327B0">
      <w:pPr>
        <w:spacing w:line="440" w:lineRule="exact"/>
        <w:rPr>
          <w:rFonts w:ascii="標楷體" w:eastAsia="標楷體" w:hAnsi="標楷體"/>
          <w:sz w:val="28"/>
          <w:szCs w:val="28"/>
        </w:rPr>
      </w:pPr>
    </w:p>
    <w:tbl>
      <w:tblPr>
        <w:tblStyle w:val="a3"/>
        <w:tblW w:w="8330" w:type="dxa"/>
        <w:tblLook w:val="04A0" w:firstRow="1" w:lastRow="0" w:firstColumn="1" w:lastColumn="0" w:noHBand="0" w:noVBand="1"/>
      </w:tblPr>
      <w:tblGrid>
        <w:gridCol w:w="585"/>
        <w:gridCol w:w="1224"/>
        <w:gridCol w:w="851"/>
        <w:gridCol w:w="3206"/>
        <w:gridCol w:w="2464"/>
      </w:tblGrid>
      <w:tr w:rsidR="00F327B0" w:rsidRPr="00F327B0" w:rsidTr="009E31B7">
        <w:trPr>
          <w:trHeight w:val="906"/>
          <w:tblHeader/>
        </w:trPr>
        <w:tc>
          <w:tcPr>
            <w:tcW w:w="585" w:type="dxa"/>
            <w:vAlign w:val="center"/>
            <w:hideMark/>
          </w:tcPr>
          <w:p w:rsidR="00F327B0" w:rsidRP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序號</w:t>
            </w:r>
          </w:p>
        </w:tc>
        <w:tc>
          <w:tcPr>
            <w:tcW w:w="1224" w:type="dxa"/>
            <w:vAlign w:val="center"/>
            <w:hideMark/>
          </w:tcPr>
          <w:p w:rsid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課程</w:t>
            </w:r>
          </w:p>
          <w:p w:rsidR="00F327B0" w:rsidRP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名稱</w:t>
            </w:r>
          </w:p>
        </w:tc>
        <w:tc>
          <w:tcPr>
            <w:tcW w:w="851" w:type="dxa"/>
            <w:vAlign w:val="center"/>
            <w:hideMark/>
          </w:tcPr>
          <w:p w:rsidR="00F327B0" w:rsidRP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課程時數</w:t>
            </w:r>
          </w:p>
        </w:tc>
        <w:tc>
          <w:tcPr>
            <w:tcW w:w="3206" w:type="dxa"/>
            <w:vAlign w:val="center"/>
            <w:hideMark/>
          </w:tcPr>
          <w:p w:rsidR="00F327B0" w:rsidRP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課程說明</w:t>
            </w:r>
          </w:p>
        </w:tc>
        <w:tc>
          <w:tcPr>
            <w:tcW w:w="2464" w:type="dxa"/>
            <w:vAlign w:val="center"/>
            <w:hideMark/>
          </w:tcPr>
          <w:p w:rsidR="00F327B0" w:rsidRPr="00F327B0" w:rsidRDefault="00F327B0" w:rsidP="00660B65">
            <w:pPr>
              <w:spacing w:line="400" w:lineRule="exact"/>
              <w:jc w:val="center"/>
              <w:rPr>
                <w:rFonts w:ascii="標楷體" w:eastAsia="標楷體" w:hAnsi="標楷體"/>
                <w:sz w:val="28"/>
                <w:szCs w:val="28"/>
              </w:rPr>
            </w:pPr>
            <w:r w:rsidRPr="00F327B0">
              <w:rPr>
                <w:rFonts w:ascii="標楷體" w:eastAsia="標楷體" w:hAnsi="標楷體" w:hint="eastAsia"/>
                <w:sz w:val="28"/>
                <w:szCs w:val="28"/>
              </w:rPr>
              <w:t>課程目標</w:t>
            </w:r>
          </w:p>
        </w:tc>
      </w:tr>
      <w:tr w:rsidR="00F327B0" w:rsidRPr="00F327B0" w:rsidTr="009E31B7">
        <w:trPr>
          <w:trHeight w:val="4305"/>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1</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我國廉政政策</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本課程將向大家介紹當前廉政情勢、瞭解我國參考聯合國的反貪腐公約(UNCAC)，及國際透明組織倡議的國家廉政體系概念，所制定國家最高廉政政策指導方針－「國家廉政建設行動方案」。希望學員藉由本課程的學習，明白我國推動廉政所</w:t>
            </w:r>
            <w:proofErr w:type="gramStart"/>
            <w:r w:rsidRPr="00F327B0">
              <w:rPr>
                <w:rFonts w:ascii="標楷體" w:eastAsia="標楷體" w:hAnsi="標楷體" w:hint="eastAsia"/>
                <w:sz w:val="28"/>
                <w:szCs w:val="28"/>
              </w:rPr>
              <w:t>採</w:t>
            </w:r>
            <w:proofErr w:type="gramEnd"/>
            <w:r w:rsidRPr="00F327B0">
              <w:rPr>
                <w:rFonts w:ascii="標楷體" w:eastAsia="標楷體" w:hAnsi="標楷體" w:hint="eastAsia"/>
                <w:sz w:val="28"/>
                <w:szCs w:val="28"/>
              </w:rPr>
              <w:t>行的策略與措施及國際組織與民眾對政府清廉度的印象評價。</w:t>
            </w:r>
          </w:p>
        </w:tc>
        <w:tc>
          <w:tcPr>
            <w:tcW w:w="2464" w:type="dxa"/>
            <w:hideMark/>
          </w:tcPr>
          <w:p w:rsidR="00FD24EC" w:rsidRPr="00FD24EC" w:rsidRDefault="00F327B0" w:rsidP="00C20514">
            <w:pPr>
              <w:pStyle w:val="aa"/>
              <w:numPr>
                <w:ilvl w:val="0"/>
                <w:numId w:val="1"/>
              </w:numPr>
              <w:spacing w:line="440" w:lineRule="exact"/>
              <w:ind w:leftChars="0"/>
              <w:jc w:val="both"/>
              <w:rPr>
                <w:rFonts w:ascii="標楷體" w:eastAsia="標楷體" w:hAnsi="標楷體"/>
                <w:sz w:val="28"/>
                <w:szCs w:val="28"/>
              </w:rPr>
            </w:pPr>
            <w:r w:rsidRPr="00FD24EC">
              <w:rPr>
                <w:rFonts w:ascii="標楷體" w:eastAsia="標楷體" w:hAnsi="標楷體" w:hint="eastAsia"/>
                <w:sz w:val="28"/>
                <w:szCs w:val="28"/>
              </w:rPr>
              <w:t>認識我國目前的政情勢</w:t>
            </w:r>
            <w:r w:rsidR="00FD24EC" w:rsidRPr="00FD24EC">
              <w:rPr>
                <w:rFonts w:ascii="標楷體" w:eastAsia="標楷體" w:hAnsi="標楷體" w:hint="eastAsia"/>
                <w:sz w:val="28"/>
                <w:szCs w:val="28"/>
              </w:rPr>
              <w:t>。</w:t>
            </w:r>
          </w:p>
          <w:p w:rsidR="00FD24EC" w:rsidRDefault="00F327B0" w:rsidP="00C20514">
            <w:pPr>
              <w:pStyle w:val="aa"/>
              <w:numPr>
                <w:ilvl w:val="0"/>
                <w:numId w:val="1"/>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認識國際透明組織倡議的「國家廉政體系」</w:t>
            </w:r>
            <w:r w:rsidR="00FD24EC">
              <w:rPr>
                <w:rFonts w:ascii="標楷體" w:eastAsia="標楷體" w:hAnsi="標楷體" w:hint="eastAsia"/>
                <w:sz w:val="28"/>
                <w:szCs w:val="28"/>
              </w:rPr>
              <w:t>。</w:t>
            </w:r>
          </w:p>
          <w:p w:rsidR="00FD24EC" w:rsidRDefault="00F327B0" w:rsidP="00C20514">
            <w:pPr>
              <w:pStyle w:val="aa"/>
              <w:numPr>
                <w:ilvl w:val="0"/>
                <w:numId w:val="1"/>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認識聯合國的反貪腐公約(UNCAC)</w:t>
            </w:r>
            <w:r w:rsidR="00FD24EC">
              <w:rPr>
                <w:rFonts w:ascii="標楷體" w:eastAsia="標楷體" w:hAnsi="標楷體" w:hint="eastAsia"/>
                <w:sz w:val="28"/>
                <w:szCs w:val="28"/>
              </w:rPr>
              <w:t>。</w:t>
            </w:r>
          </w:p>
          <w:p w:rsidR="00F327B0" w:rsidRPr="00F327B0" w:rsidRDefault="00F327B0" w:rsidP="00C20514">
            <w:pPr>
              <w:pStyle w:val="aa"/>
              <w:numPr>
                <w:ilvl w:val="0"/>
                <w:numId w:val="1"/>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瞭解「國家廉政建設行動方案」的具體作為</w:t>
            </w:r>
            <w:r w:rsidR="00FD24EC">
              <w:rPr>
                <w:rFonts w:ascii="標楷體" w:eastAsia="標楷體" w:hAnsi="標楷體" w:hint="eastAsia"/>
                <w:sz w:val="28"/>
                <w:szCs w:val="28"/>
              </w:rPr>
              <w:t>。</w:t>
            </w:r>
          </w:p>
        </w:tc>
      </w:tr>
      <w:tr w:rsidR="00F327B0" w:rsidRPr="00F327B0" w:rsidTr="009E31B7">
        <w:trPr>
          <w:trHeight w:val="3690"/>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公務員法律責任及案例說明</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期許透過本課程讓學員瞭解，公務員的概念及其應負的責任範圍，經由案例的解說加強對刑法及貪污治罪條例之認識，並搭配貪污治罪條例歷次修正的重點，瞭解法律對公務員的最新規範要求。</w:t>
            </w:r>
          </w:p>
        </w:tc>
        <w:tc>
          <w:tcPr>
            <w:tcW w:w="2464" w:type="dxa"/>
            <w:hideMark/>
          </w:tcPr>
          <w:p w:rsidR="00FD24EC" w:rsidRDefault="00F327B0" w:rsidP="00C20514">
            <w:pPr>
              <w:pStyle w:val="aa"/>
              <w:numPr>
                <w:ilvl w:val="0"/>
                <w:numId w:val="2"/>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能瞭解公務員的定義與概念。</w:t>
            </w:r>
          </w:p>
          <w:p w:rsidR="00FD24EC" w:rsidRDefault="00F327B0" w:rsidP="00C20514">
            <w:pPr>
              <w:pStyle w:val="aa"/>
              <w:numPr>
                <w:ilvl w:val="0"/>
                <w:numId w:val="2"/>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能瞭解公務員的責任。</w:t>
            </w:r>
          </w:p>
          <w:p w:rsidR="00FD24EC" w:rsidRDefault="00F327B0" w:rsidP="00C20514">
            <w:pPr>
              <w:pStyle w:val="aa"/>
              <w:numPr>
                <w:ilvl w:val="0"/>
                <w:numId w:val="2"/>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能認識公務員常見的違法類型。</w:t>
            </w:r>
          </w:p>
          <w:p w:rsidR="00FD24EC" w:rsidRDefault="00F327B0" w:rsidP="00C20514">
            <w:pPr>
              <w:pStyle w:val="aa"/>
              <w:numPr>
                <w:ilvl w:val="0"/>
                <w:numId w:val="2"/>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能認識公務員刑事責任的量刑統計。</w:t>
            </w:r>
          </w:p>
          <w:p w:rsidR="00F327B0" w:rsidRPr="00F327B0" w:rsidRDefault="00F327B0" w:rsidP="00C20514">
            <w:pPr>
              <w:pStyle w:val="aa"/>
              <w:numPr>
                <w:ilvl w:val="0"/>
                <w:numId w:val="2"/>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能瞭解貪污治罪條例近年來的新制度。</w:t>
            </w:r>
          </w:p>
        </w:tc>
      </w:tr>
      <w:tr w:rsidR="00F327B0" w:rsidRPr="00F327B0" w:rsidTr="009E31B7">
        <w:trPr>
          <w:trHeight w:val="6750"/>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lastRenderedPageBreak/>
              <w:t>3</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請託關說登錄查察作業要點案例說明</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1</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我國對於公務員「請託關說」之規定散見於各個法規，含</w:t>
            </w:r>
            <w:proofErr w:type="gramStart"/>
            <w:r w:rsidRPr="00F327B0">
              <w:rPr>
                <w:rFonts w:ascii="標楷體" w:eastAsia="標楷體" w:hAnsi="標楷體" w:hint="eastAsia"/>
                <w:sz w:val="28"/>
                <w:szCs w:val="28"/>
              </w:rPr>
              <w:t>括</w:t>
            </w:r>
            <w:proofErr w:type="gramEnd"/>
            <w:r w:rsidRPr="00F327B0">
              <w:rPr>
                <w:rFonts w:ascii="標楷體" w:eastAsia="標楷體" w:hAnsi="標楷體" w:hint="eastAsia"/>
                <w:sz w:val="28"/>
                <w:szCs w:val="28"/>
              </w:rPr>
              <w:t>公務員服務法、公職人員利益衝突迴避法、政府採購法、公務員廉政倫理規範等，造成「請託關說」未明確且無一致性之定義及專屬法規，加上</w:t>
            </w:r>
            <w:proofErr w:type="gramStart"/>
            <w:r w:rsidRPr="00F327B0">
              <w:rPr>
                <w:rFonts w:ascii="標楷體" w:eastAsia="標楷體" w:hAnsi="標楷體" w:hint="eastAsia"/>
                <w:sz w:val="28"/>
                <w:szCs w:val="28"/>
              </w:rPr>
              <w:t>邇</w:t>
            </w:r>
            <w:proofErr w:type="gramEnd"/>
            <w:r w:rsidRPr="00F327B0">
              <w:rPr>
                <w:rFonts w:ascii="標楷體" w:eastAsia="標楷體" w:hAnsi="標楷體" w:hint="eastAsia"/>
                <w:sz w:val="28"/>
                <w:szCs w:val="28"/>
              </w:rPr>
              <w:t>來公務員發生數起請託關說之重大事件，造成社會輿論嘩然。行政院為明確建立公務員碰上「請託關說」應遵循之制度及舉措，於101年9月4日頒訂「行政院及所屬機關機構請託關說登錄查察作業要點」全文共15點，將「請託關說」予以法制化，不僅促使公務員能依法行政、避免執法上之困擾外，亦能使民眾減少「請託關說」，進而提升公務員素質及社會觀感。</w:t>
            </w:r>
          </w:p>
        </w:tc>
        <w:tc>
          <w:tcPr>
            <w:tcW w:w="2464" w:type="dxa"/>
            <w:hideMark/>
          </w:tcPr>
          <w:p w:rsidR="00FD24EC" w:rsidRDefault="00F327B0" w:rsidP="00C20514">
            <w:pPr>
              <w:pStyle w:val="aa"/>
              <w:numPr>
                <w:ilvl w:val="0"/>
                <w:numId w:val="3"/>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瞭解請託關說登錄查察作業要點的立法背景</w:t>
            </w:r>
            <w:r w:rsidR="00FD24EC">
              <w:rPr>
                <w:rFonts w:ascii="標楷體" w:eastAsia="標楷體" w:hAnsi="標楷體" w:hint="eastAsia"/>
                <w:sz w:val="28"/>
                <w:szCs w:val="28"/>
              </w:rPr>
              <w:t>。</w:t>
            </w:r>
          </w:p>
          <w:p w:rsidR="00FD24EC" w:rsidRDefault="00F327B0" w:rsidP="00C20514">
            <w:pPr>
              <w:pStyle w:val="aa"/>
              <w:numPr>
                <w:ilvl w:val="0"/>
                <w:numId w:val="3"/>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認識請託關說登錄查察作業要點的相關架構及附屬法規</w:t>
            </w:r>
            <w:r w:rsidR="00FD24EC">
              <w:rPr>
                <w:rFonts w:ascii="標楷體" w:eastAsia="標楷體" w:hAnsi="標楷體" w:hint="eastAsia"/>
                <w:sz w:val="28"/>
                <w:szCs w:val="28"/>
              </w:rPr>
              <w:t>。</w:t>
            </w:r>
          </w:p>
          <w:p w:rsidR="00FD24EC" w:rsidRDefault="00F327B0" w:rsidP="00C20514">
            <w:pPr>
              <w:pStyle w:val="aa"/>
              <w:numPr>
                <w:ilvl w:val="0"/>
                <w:numId w:val="3"/>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認識請託關說相關案例</w:t>
            </w:r>
            <w:r w:rsidR="00FD24EC">
              <w:rPr>
                <w:rFonts w:ascii="標楷體" w:eastAsia="標楷體" w:hAnsi="標楷體" w:hint="eastAsia"/>
                <w:sz w:val="28"/>
                <w:szCs w:val="28"/>
              </w:rPr>
              <w:t>。</w:t>
            </w:r>
          </w:p>
          <w:p w:rsidR="00F327B0" w:rsidRPr="00F327B0" w:rsidRDefault="00F327B0" w:rsidP="00C20514">
            <w:pPr>
              <w:pStyle w:val="aa"/>
              <w:numPr>
                <w:ilvl w:val="0"/>
                <w:numId w:val="3"/>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知悉請託關說登錄查察作業要點的3個常見問題</w:t>
            </w:r>
            <w:r w:rsidR="00FD24EC">
              <w:rPr>
                <w:rFonts w:ascii="標楷體" w:eastAsia="標楷體" w:hAnsi="標楷體" w:hint="eastAsia"/>
                <w:sz w:val="28"/>
                <w:szCs w:val="28"/>
              </w:rPr>
              <w:t>。</w:t>
            </w:r>
          </w:p>
        </w:tc>
      </w:tr>
      <w:tr w:rsidR="00F327B0" w:rsidRPr="00F327B0" w:rsidTr="009E31B7">
        <w:trPr>
          <w:trHeight w:val="8130"/>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lastRenderedPageBreak/>
              <w:t>4</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陽光法案</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為促進廉能政治，端正政治風氣，我國制定多種陽光法案，而公職人員財產申報法、公職人員利益衝突迴避法不僅是其中一環，又因適用對象</w:t>
            </w:r>
            <w:proofErr w:type="gramStart"/>
            <w:r w:rsidRPr="00F327B0">
              <w:rPr>
                <w:rFonts w:ascii="標楷體" w:eastAsia="標楷體" w:hAnsi="標楷體" w:hint="eastAsia"/>
                <w:sz w:val="28"/>
                <w:szCs w:val="28"/>
              </w:rPr>
              <w:t>眾多，加上攸</w:t>
            </w:r>
            <w:proofErr w:type="gramEnd"/>
            <w:r w:rsidRPr="00F327B0">
              <w:rPr>
                <w:rFonts w:ascii="標楷體" w:eastAsia="標楷體" w:hAnsi="標楷體" w:hint="eastAsia"/>
                <w:sz w:val="28"/>
                <w:szCs w:val="28"/>
              </w:rPr>
              <w:t>關公職人員權益，可見其重要性不可小覷。為活化訓練教材，本課程是以適用對象（即公職人員）之角度出發，就實務上常見之疑義及疏失來設計內容，藉此協助公職人員保護自身權益、避免觸法。在公職人員財產申報法部分，本課程除說明申報對象、申報時機、申報項目</w:t>
            </w:r>
            <w:proofErr w:type="gramStart"/>
            <w:r w:rsidRPr="00F327B0">
              <w:rPr>
                <w:rFonts w:ascii="標楷體" w:eastAsia="標楷體" w:hAnsi="標楷體" w:hint="eastAsia"/>
                <w:sz w:val="28"/>
                <w:szCs w:val="28"/>
              </w:rPr>
              <w:t>以外，</w:t>
            </w:r>
            <w:proofErr w:type="gramEnd"/>
            <w:r w:rsidRPr="00F327B0">
              <w:rPr>
                <w:rFonts w:ascii="標楷體" w:eastAsia="標楷體" w:hAnsi="標楷體" w:hint="eastAsia"/>
                <w:sz w:val="28"/>
                <w:szCs w:val="28"/>
              </w:rPr>
              <w:t>另就如何查詢個人財產、常見申報錯誤</w:t>
            </w:r>
            <w:proofErr w:type="gramStart"/>
            <w:r w:rsidRPr="00F327B0">
              <w:rPr>
                <w:rFonts w:ascii="標楷體" w:eastAsia="標楷體" w:hAnsi="標楷體" w:hint="eastAsia"/>
                <w:sz w:val="28"/>
                <w:szCs w:val="28"/>
              </w:rPr>
              <w:t>態樣等財產</w:t>
            </w:r>
            <w:proofErr w:type="gramEnd"/>
            <w:r w:rsidRPr="00F327B0">
              <w:rPr>
                <w:rFonts w:ascii="標楷體" w:eastAsia="標楷體" w:hAnsi="標楷體" w:hint="eastAsia"/>
                <w:sz w:val="28"/>
                <w:szCs w:val="28"/>
              </w:rPr>
              <w:t>申報義務人關切之議題，提出深入淺出解析；在公職人員利益衝突迴避法部分，除解說適用對象、利益範圍、迴避事由、迴避程序及違反效果</w:t>
            </w:r>
            <w:proofErr w:type="gramStart"/>
            <w:r w:rsidRPr="00F327B0">
              <w:rPr>
                <w:rFonts w:ascii="標楷體" w:eastAsia="標楷體" w:hAnsi="標楷體" w:hint="eastAsia"/>
                <w:sz w:val="28"/>
                <w:szCs w:val="28"/>
              </w:rPr>
              <w:t>以外，</w:t>
            </w:r>
            <w:proofErr w:type="gramEnd"/>
            <w:r w:rsidRPr="00F327B0">
              <w:rPr>
                <w:rFonts w:ascii="標楷體" w:eastAsia="標楷體" w:hAnsi="標楷體" w:hint="eastAsia"/>
                <w:sz w:val="28"/>
                <w:szCs w:val="28"/>
              </w:rPr>
              <w:t>並將疑義</w:t>
            </w:r>
            <w:proofErr w:type="gramStart"/>
            <w:r w:rsidRPr="00F327B0">
              <w:rPr>
                <w:rFonts w:ascii="標楷體" w:eastAsia="標楷體" w:hAnsi="標楷體" w:hint="eastAsia"/>
                <w:sz w:val="28"/>
                <w:szCs w:val="28"/>
              </w:rPr>
              <w:t>釐</w:t>
            </w:r>
            <w:proofErr w:type="gramEnd"/>
            <w:r w:rsidRPr="00F327B0">
              <w:rPr>
                <w:rFonts w:ascii="標楷體" w:eastAsia="標楷體" w:hAnsi="標楷體" w:hint="eastAsia"/>
                <w:sz w:val="28"/>
                <w:szCs w:val="28"/>
              </w:rPr>
              <w:t>清與具體案例融入本課程相關內容，藉此提高學習興趣及成效。</w:t>
            </w:r>
          </w:p>
        </w:tc>
        <w:tc>
          <w:tcPr>
            <w:tcW w:w="2464" w:type="dxa"/>
            <w:hideMark/>
          </w:tcPr>
          <w:p w:rsidR="00FD2083" w:rsidRDefault="00F327B0" w:rsidP="00C20514">
            <w:pPr>
              <w:pStyle w:val="aa"/>
              <w:numPr>
                <w:ilvl w:val="0"/>
                <w:numId w:val="4"/>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瞭解重要陽光法案</w:t>
            </w:r>
            <w:r w:rsidR="00FD24EC">
              <w:rPr>
                <w:rFonts w:ascii="標楷體" w:eastAsia="標楷體" w:hAnsi="標楷體" w:hint="eastAsia"/>
                <w:sz w:val="28"/>
                <w:szCs w:val="28"/>
              </w:rPr>
              <w:t>。</w:t>
            </w:r>
          </w:p>
          <w:p w:rsidR="00FD2083" w:rsidRDefault="00F327B0" w:rsidP="00C20514">
            <w:pPr>
              <w:pStyle w:val="aa"/>
              <w:numPr>
                <w:ilvl w:val="0"/>
                <w:numId w:val="4"/>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正確申報個人財產</w:t>
            </w:r>
            <w:r w:rsidRPr="00F327B0">
              <w:rPr>
                <w:rFonts w:ascii="標楷體" w:eastAsia="標楷體" w:hAnsi="標楷體" w:hint="eastAsia"/>
                <w:sz w:val="28"/>
                <w:szCs w:val="28"/>
              </w:rPr>
              <w:br w:type="page"/>
            </w:r>
            <w:r w:rsidR="00FD24EC">
              <w:rPr>
                <w:rFonts w:ascii="標楷體" w:eastAsia="標楷體" w:hAnsi="標楷體" w:hint="eastAsia"/>
                <w:sz w:val="28"/>
                <w:szCs w:val="28"/>
              </w:rPr>
              <w:t>。</w:t>
            </w:r>
          </w:p>
          <w:p w:rsidR="00FD2083" w:rsidRDefault="00F327B0" w:rsidP="00C20514">
            <w:pPr>
              <w:pStyle w:val="aa"/>
              <w:numPr>
                <w:ilvl w:val="0"/>
                <w:numId w:val="4"/>
              </w:numPr>
              <w:spacing w:line="440" w:lineRule="exact"/>
              <w:ind w:leftChars="0"/>
              <w:jc w:val="both"/>
              <w:rPr>
                <w:rFonts w:ascii="標楷體" w:eastAsia="標楷體" w:hAnsi="標楷體"/>
                <w:sz w:val="28"/>
                <w:szCs w:val="28"/>
              </w:rPr>
            </w:pPr>
            <w:proofErr w:type="gramStart"/>
            <w:r w:rsidRPr="00F327B0">
              <w:rPr>
                <w:rFonts w:ascii="標楷體" w:eastAsia="標楷體" w:hAnsi="標楷體" w:hint="eastAsia"/>
                <w:sz w:val="28"/>
                <w:szCs w:val="28"/>
              </w:rPr>
              <w:t>釐</w:t>
            </w:r>
            <w:proofErr w:type="gramEnd"/>
            <w:r w:rsidRPr="00F327B0">
              <w:rPr>
                <w:rFonts w:ascii="標楷體" w:eastAsia="標楷體" w:hAnsi="標楷體" w:hint="eastAsia"/>
                <w:sz w:val="28"/>
                <w:szCs w:val="28"/>
              </w:rPr>
              <w:t>清法案相關疑義</w:t>
            </w:r>
            <w:r w:rsidR="00FD24EC">
              <w:rPr>
                <w:rFonts w:ascii="標楷體" w:eastAsia="標楷體" w:hAnsi="標楷體" w:hint="eastAsia"/>
                <w:sz w:val="28"/>
                <w:szCs w:val="28"/>
              </w:rPr>
              <w:t>。</w:t>
            </w:r>
          </w:p>
          <w:p w:rsidR="00F327B0" w:rsidRPr="00F327B0" w:rsidRDefault="00FD24EC" w:rsidP="00C20514">
            <w:pPr>
              <w:pStyle w:val="aa"/>
              <w:numPr>
                <w:ilvl w:val="0"/>
                <w:numId w:val="4"/>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br w:type="page"/>
            </w:r>
            <w:r w:rsidR="00F327B0" w:rsidRPr="00F327B0">
              <w:rPr>
                <w:rFonts w:ascii="標楷體" w:eastAsia="標楷體" w:hAnsi="標楷體" w:hint="eastAsia"/>
                <w:sz w:val="28"/>
                <w:szCs w:val="28"/>
              </w:rPr>
              <w:t>保護個人自身權益</w:t>
            </w:r>
            <w:r>
              <w:rPr>
                <w:rFonts w:ascii="標楷體" w:eastAsia="標楷體" w:hAnsi="標楷體" w:hint="eastAsia"/>
                <w:sz w:val="28"/>
                <w:szCs w:val="28"/>
              </w:rPr>
              <w:t>。</w:t>
            </w:r>
            <w:r w:rsidR="00F327B0" w:rsidRPr="00F327B0">
              <w:rPr>
                <w:rFonts w:ascii="標楷體" w:eastAsia="標楷體" w:hAnsi="標楷體" w:hint="eastAsia"/>
                <w:sz w:val="28"/>
                <w:szCs w:val="28"/>
              </w:rPr>
              <w:br w:type="page"/>
            </w:r>
          </w:p>
        </w:tc>
      </w:tr>
      <w:tr w:rsidR="00F327B0" w:rsidRPr="00F327B0" w:rsidTr="009E31B7">
        <w:trPr>
          <w:trHeight w:val="6945"/>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lastRenderedPageBreak/>
              <w:t>5</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公務機密維護</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機關是政府處理國家行政事務的部門，其組成分子都是公務員，而公務員執行公務或多或少都能接觸到公務上應秘密事項，這些機密事項</w:t>
            </w:r>
            <w:proofErr w:type="gramStart"/>
            <w:r w:rsidRPr="00F327B0">
              <w:rPr>
                <w:rFonts w:ascii="標楷體" w:eastAsia="標楷體" w:hAnsi="標楷體" w:hint="eastAsia"/>
                <w:sz w:val="28"/>
                <w:szCs w:val="28"/>
              </w:rPr>
              <w:t>攸</w:t>
            </w:r>
            <w:proofErr w:type="gramEnd"/>
            <w:r w:rsidRPr="00F327B0">
              <w:rPr>
                <w:rFonts w:ascii="標楷體" w:eastAsia="標楷體" w:hAnsi="標楷體" w:hint="eastAsia"/>
                <w:sz w:val="28"/>
                <w:szCs w:val="28"/>
              </w:rPr>
              <w:t>關國家安全、社會利益及民眾權利，如發生洩密情事，小則造成機關困擾或損害民眾個人權益，大則危及社會利益，甚至釀成國家災禍，影響國家安全。以往一般公務員對所承辦之公務</w:t>
            </w:r>
            <w:proofErr w:type="gramStart"/>
            <w:r w:rsidRPr="00F327B0">
              <w:rPr>
                <w:rFonts w:ascii="標楷體" w:eastAsia="標楷體" w:hAnsi="標楷體" w:hint="eastAsia"/>
                <w:sz w:val="28"/>
                <w:szCs w:val="28"/>
              </w:rPr>
              <w:t>是否須盡保密</w:t>
            </w:r>
            <w:proofErr w:type="gramEnd"/>
            <w:r w:rsidRPr="00F327B0">
              <w:rPr>
                <w:rFonts w:ascii="標楷體" w:eastAsia="標楷體" w:hAnsi="標楷體" w:hint="eastAsia"/>
                <w:sz w:val="28"/>
                <w:szCs w:val="28"/>
              </w:rPr>
              <w:t>義務，大都輕忽，期望透過本課程結合理論與案例的介紹，能使公務員對公務機密的種類、範圍、核定、解除、保密義務及洩密責任，有了詳細瞭解，更進一步知道在機關內政風機構如何針對公務機密辦理實務維護作為，以便配合推動，進而保障自己的權益及維護國家安全。</w:t>
            </w:r>
          </w:p>
        </w:tc>
        <w:tc>
          <w:tcPr>
            <w:tcW w:w="2464" w:type="dxa"/>
            <w:hideMark/>
          </w:tcPr>
          <w:p w:rsidR="00FD2083" w:rsidRDefault="00F327B0" w:rsidP="00C20514">
            <w:pPr>
              <w:pStyle w:val="aa"/>
              <w:numPr>
                <w:ilvl w:val="0"/>
                <w:numId w:val="5"/>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能認識公務員承辦公務應恪盡機密維護的重要性。</w:t>
            </w:r>
          </w:p>
          <w:p w:rsidR="00FD2083" w:rsidRDefault="00F327B0" w:rsidP="00C20514">
            <w:pPr>
              <w:pStyle w:val="aa"/>
              <w:numPr>
                <w:ilvl w:val="0"/>
                <w:numId w:val="5"/>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能正確分辨出什麼是一般公務機密，什麼是國家機密。</w:t>
            </w:r>
          </w:p>
          <w:p w:rsidR="00FD2083" w:rsidRDefault="00F327B0" w:rsidP="00C20514">
            <w:pPr>
              <w:pStyle w:val="aa"/>
              <w:numPr>
                <w:ilvl w:val="0"/>
                <w:numId w:val="5"/>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能瞭解公務機密如何核定、標示、解除、變更及解密。</w:t>
            </w:r>
          </w:p>
          <w:p w:rsidR="00FD2083" w:rsidRDefault="00F327B0" w:rsidP="00C20514">
            <w:pPr>
              <w:pStyle w:val="aa"/>
              <w:numPr>
                <w:ilvl w:val="0"/>
                <w:numId w:val="5"/>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能知悉公務員應盡的保密義務及洩密應負的行政、刑事與民事責任。</w:t>
            </w:r>
          </w:p>
          <w:p w:rsidR="00F327B0" w:rsidRPr="00F327B0" w:rsidRDefault="00F327B0" w:rsidP="00C20514">
            <w:pPr>
              <w:pStyle w:val="aa"/>
              <w:numPr>
                <w:ilvl w:val="0"/>
                <w:numId w:val="5"/>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能瞭解機關內政風機構如何推動保密的實務作為。</w:t>
            </w:r>
            <w:r w:rsidRPr="00F327B0">
              <w:rPr>
                <w:rFonts w:ascii="標楷體" w:eastAsia="標楷體" w:hAnsi="標楷體" w:hint="eastAsia"/>
                <w:sz w:val="28"/>
                <w:szCs w:val="28"/>
              </w:rPr>
              <w:br w:type="page"/>
            </w:r>
            <w:r w:rsidRPr="00F327B0">
              <w:rPr>
                <w:rFonts w:ascii="標楷體" w:eastAsia="標楷體" w:hAnsi="標楷體" w:hint="eastAsia"/>
                <w:sz w:val="28"/>
                <w:szCs w:val="28"/>
              </w:rPr>
              <w:br w:type="page"/>
            </w:r>
          </w:p>
        </w:tc>
      </w:tr>
      <w:tr w:rsidR="00F327B0" w:rsidRPr="00F327B0" w:rsidTr="009E31B7">
        <w:trPr>
          <w:trHeight w:val="6930"/>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lastRenderedPageBreak/>
              <w:t>6</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行政透明</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一如所知，「民可使由之，不可使知之」的時代早已遠去；隨著臺灣進入「民主鞏固」的階段，不僅政府不可能關起門來做事，公務人員也再難「好官我自為之」，取而代之的是「透明」、「回應」、「</w:t>
            </w:r>
            <w:proofErr w:type="gramStart"/>
            <w:r w:rsidRPr="00F327B0">
              <w:rPr>
                <w:rFonts w:ascii="標楷體" w:eastAsia="標楷體" w:hAnsi="標楷體" w:hint="eastAsia"/>
                <w:sz w:val="28"/>
                <w:szCs w:val="28"/>
              </w:rPr>
              <w:t>當責</w:t>
            </w:r>
            <w:proofErr w:type="gramEnd"/>
            <w:r w:rsidRPr="00F327B0">
              <w:rPr>
                <w:rFonts w:ascii="標楷體" w:eastAsia="標楷體" w:hAnsi="標楷體" w:hint="eastAsia"/>
                <w:sz w:val="28"/>
                <w:szCs w:val="28"/>
              </w:rPr>
              <w:t>」等「民主治理」觀念當道，並成為「公共服務組織」核心價值的主要成分，其中，「透明」尤居關鍵地位！本課程因此試圖透過對於「行政透明」之意義、重要性、相關法規的規範，乃至「公民社會」參與推動「行政透明」等相關議題的引</w:t>
            </w:r>
            <w:proofErr w:type="gramStart"/>
            <w:r w:rsidRPr="00F327B0">
              <w:rPr>
                <w:rFonts w:ascii="標楷體" w:eastAsia="標楷體" w:hAnsi="標楷體" w:hint="eastAsia"/>
                <w:sz w:val="28"/>
                <w:szCs w:val="28"/>
              </w:rPr>
              <w:t>介</w:t>
            </w:r>
            <w:proofErr w:type="gramEnd"/>
            <w:r w:rsidRPr="00F327B0">
              <w:rPr>
                <w:rFonts w:ascii="標楷體" w:eastAsia="標楷體" w:hAnsi="標楷體" w:hint="eastAsia"/>
                <w:sz w:val="28"/>
                <w:szCs w:val="28"/>
              </w:rPr>
              <w:t>，協助公務人員再進一步提升政府的行政效率與效能，從而滿足民眾對於清明有感、廉潔可風這樣一種「良善」政府的期待。</w:t>
            </w:r>
          </w:p>
        </w:tc>
        <w:tc>
          <w:tcPr>
            <w:tcW w:w="2464" w:type="dxa"/>
            <w:hideMark/>
          </w:tcPr>
          <w:p w:rsidR="00FD2083" w:rsidRDefault="00F327B0" w:rsidP="00C20514">
            <w:pPr>
              <w:pStyle w:val="aa"/>
              <w:numPr>
                <w:ilvl w:val="0"/>
                <w:numId w:val="7"/>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掌握「行政透明」之定義、目的與重要性</w:t>
            </w:r>
            <w:r w:rsidR="00FD24EC">
              <w:rPr>
                <w:rFonts w:ascii="標楷體" w:eastAsia="標楷體" w:hAnsi="標楷體" w:hint="eastAsia"/>
                <w:sz w:val="28"/>
                <w:szCs w:val="28"/>
              </w:rPr>
              <w:t>。</w:t>
            </w:r>
            <w:r w:rsidRPr="00F327B0">
              <w:rPr>
                <w:rFonts w:ascii="標楷體" w:eastAsia="標楷體" w:hAnsi="標楷體" w:hint="eastAsia"/>
                <w:sz w:val="28"/>
                <w:szCs w:val="28"/>
              </w:rPr>
              <w:br w:type="page"/>
            </w:r>
          </w:p>
          <w:p w:rsidR="00FD2083" w:rsidRDefault="00F327B0" w:rsidP="00C20514">
            <w:pPr>
              <w:pStyle w:val="aa"/>
              <w:numPr>
                <w:ilvl w:val="0"/>
                <w:numId w:val="7"/>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認識行政透明與國家廉政體系的關聯</w:t>
            </w:r>
            <w:r w:rsidR="00FD24EC">
              <w:rPr>
                <w:rFonts w:ascii="標楷體" w:eastAsia="標楷體" w:hAnsi="標楷體" w:hint="eastAsia"/>
                <w:sz w:val="28"/>
                <w:szCs w:val="28"/>
              </w:rPr>
              <w:t>。</w:t>
            </w:r>
          </w:p>
          <w:p w:rsidR="00FD2083" w:rsidRDefault="00F327B0" w:rsidP="00C20514">
            <w:pPr>
              <w:pStyle w:val="aa"/>
              <w:numPr>
                <w:ilvl w:val="0"/>
                <w:numId w:val="7"/>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br w:type="page"/>
              <w:t>有效認知行政機關落實行政透明的要領和實例</w:t>
            </w:r>
            <w:r w:rsidR="00FD24EC">
              <w:rPr>
                <w:rFonts w:ascii="標楷體" w:eastAsia="標楷體" w:hAnsi="標楷體" w:hint="eastAsia"/>
                <w:sz w:val="28"/>
                <w:szCs w:val="28"/>
              </w:rPr>
              <w:t>。</w:t>
            </w:r>
          </w:p>
          <w:p w:rsidR="00FD2083" w:rsidRDefault="00FD24EC" w:rsidP="00C20514">
            <w:pPr>
              <w:pStyle w:val="aa"/>
              <w:numPr>
                <w:ilvl w:val="0"/>
                <w:numId w:val="7"/>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br w:type="page"/>
            </w:r>
            <w:r w:rsidR="00F327B0" w:rsidRPr="00F327B0">
              <w:rPr>
                <w:rFonts w:ascii="標楷體" w:eastAsia="標楷體" w:hAnsi="標楷體" w:hint="eastAsia"/>
                <w:sz w:val="28"/>
                <w:szCs w:val="28"/>
              </w:rPr>
              <w:t>瞭解公民社會協助推動行政透明的實況</w:t>
            </w:r>
            <w:r>
              <w:rPr>
                <w:rFonts w:ascii="標楷體" w:eastAsia="標楷體" w:hAnsi="標楷體" w:hint="eastAsia"/>
                <w:sz w:val="28"/>
                <w:szCs w:val="28"/>
              </w:rPr>
              <w:t>。</w:t>
            </w:r>
          </w:p>
          <w:p w:rsidR="00F327B0" w:rsidRPr="00F327B0" w:rsidRDefault="00FD24EC" w:rsidP="00C20514">
            <w:pPr>
              <w:pStyle w:val="aa"/>
              <w:numPr>
                <w:ilvl w:val="0"/>
                <w:numId w:val="7"/>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br w:type="page"/>
            </w:r>
            <w:r w:rsidR="00F327B0" w:rsidRPr="00F327B0">
              <w:rPr>
                <w:rFonts w:ascii="標楷體" w:eastAsia="標楷體" w:hAnsi="標楷體" w:hint="eastAsia"/>
                <w:sz w:val="28"/>
                <w:szCs w:val="28"/>
              </w:rPr>
              <w:t>參酌國外主要國家推動行政透明之具體作為</w:t>
            </w:r>
            <w:r>
              <w:rPr>
                <w:rFonts w:ascii="標楷體" w:eastAsia="標楷體" w:hAnsi="標楷體" w:hint="eastAsia"/>
                <w:sz w:val="28"/>
                <w:szCs w:val="28"/>
              </w:rPr>
              <w:t>。</w:t>
            </w:r>
          </w:p>
        </w:tc>
      </w:tr>
      <w:tr w:rsidR="00F327B0" w:rsidRPr="00F327B0" w:rsidTr="009E31B7">
        <w:trPr>
          <w:trHeight w:val="6060"/>
        </w:trPr>
        <w:tc>
          <w:tcPr>
            <w:tcW w:w="585" w:type="dxa"/>
            <w:hideMark/>
          </w:tcPr>
          <w:p w:rsidR="00F327B0" w:rsidRPr="00F327B0" w:rsidRDefault="00F327B0" w:rsidP="006E0471">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lastRenderedPageBreak/>
              <w:t>7</w:t>
            </w:r>
          </w:p>
        </w:tc>
        <w:tc>
          <w:tcPr>
            <w:tcW w:w="1224" w:type="dxa"/>
            <w:hideMark/>
          </w:tcPr>
          <w:p w:rsidR="00F327B0" w:rsidRPr="00F327B0" w:rsidRDefault="00F327B0" w:rsidP="00F327B0">
            <w:pPr>
              <w:spacing w:line="440" w:lineRule="exact"/>
              <w:rPr>
                <w:rFonts w:ascii="標楷體" w:eastAsia="標楷體" w:hAnsi="標楷體"/>
                <w:sz w:val="28"/>
                <w:szCs w:val="28"/>
              </w:rPr>
            </w:pPr>
            <w:r w:rsidRPr="00F327B0">
              <w:rPr>
                <w:rFonts w:ascii="標楷體" w:eastAsia="標楷體" w:hAnsi="標楷體" w:hint="eastAsia"/>
                <w:sz w:val="28"/>
                <w:szCs w:val="28"/>
              </w:rPr>
              <w:t>國際廉政趨勢</w:t>
            </w:r>
          </w:p>
        </w:tc>
        <w:tc>
          <w:tcPr>
            <w:tcW w:w="851" w:type="dxa"/>
            <w:hideMark/>
          </w:tcPr>
          <w:p w:rsidR="00F327B0" w:rsidRPr="00F327B0" w:rsidRDefault="00F327B0" w:rsidP="00F327B0">
            <w:pPr>
              <w:spacing w:line="440" w:lineRule="exact"/>
              <w:jc w:val="center"/>
              <w:rPr>
                <w:rFonts w:ascii="標楷體" w:eastAsia="標楷體" w:hAnsi="標楷體"/>
                <w:sz w:val="28"/>
                <w:szCs w:val="28"/>
              </w:rPr>
            </w:pPr>
            <w:r w:rsidRPr="00F327B0">
              <w:rPr>
                <w:rFonts w:ascii="標楷體" w:eastAsia="標楷體" w:hAnsi="標楷體" w:hint="eastAsia"/>
                <w:sz w:val="28"/>
                <w:szCs w:val="28"/>
              </w:rPr>
              <w:t>2</w:t>
            </w:r>
            <w:bookmarkStart w:id="0" w:name="_GoBack"/>
            <w:bookmarkEnd w:id="0"/>
          </w:p>
        </w:tc>
        <w:tc>
          <w:tcPr>
            <w:tcW w:w="3206" w:type="dxa"/>
            <w:hideMark/>
          </w:tcPr>
          <w:p w:rsidR="00F327B0" w:rsidRPr="00F327B0" w:rsidRDefault="00F327B0" w:rsidP="00C20514">
            <w:pPr>
              <w:spacing w:line="440" w:lineRule="exact"/>
              <w:jc w:val="both"/>
              <w:rPr>
                <w:rFonts w:ascii="標楷體" w:eastAsia="標楷體" w:hAnsi="標楷體"/>
                <w:sz w:val="28"/>
                <w:szCs w:val="28"/>
              </w:rPr>
            </w:pPr>
            <w:r w:rsidRPr="00F327B0">
              <w:rPr>
                <w:rFonts w:ascii="標楷體" w:eastAsia="標楷體" w:hAnsi="標楷體" w:hint="eastAsia"/>
                <w:sz w:val="28"/>
                <w:szCs w:val="28"/>
              </w:rPr>
              <w:t>本課程以跨國倡議(transnational advocacy)為理論基礎，以時間為橫軸、事件為縱軸，循序漸進分析全球反貪運動之重要發展歷程，尤其是最近十年之重要里程碑，以利學習者掌握事件之脈絡。主要內容包括國際公約(OECD反賄公約與聯合國反貪公約)之執行現況與跨國比較、CPI、GCB、BPI、GDAI等重要廉潔指數之評比方法，以及臺灣排名與跨國比較之意涵與爭議。最後以廉政專責機構之各國發展現況與績效進行跨國分析，對比台灣廉政鐵三角(檢察官、廉政署、調查局)之運作現況。</w:t>
            </w:r>
          </w:p>
        </w:tc>
        <w:tc>
          <w:tcPr>
            <w:tcW w:w="2464" w:type="dxa"/>
            <w:hideMark/>
          </w:tcPr>
          <w:p w:rsidR="00FD24EC" w:rsidRDefault="00F327B0" w:rsidP="00C20514">
            <w:pPr>
              <w:pStyle w:val="aa"/>
              <w:numPr>
                <w:ilvl w:val="0"/>
                <w:numId w:val="6"/>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探討全球反貪運動中美國與歐盟等大國的競合，以及國際透明組織的發展與影響。</w:t>
            </w:r>
          </w:p>
          <w:p w:rsidR="00FD24EC" w:rsidRDefault="00F327B0" w:rsidP="00C20514">
            <w:pPr>
              <w:pStyle w:val="aa"/>
              <w:numPr>
                <w:ilvl w:val="0"/>
                <w:numId w:val="6"/>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瞭解OECD反賄公約的立法歷程、各界態度的轉變與現行狀況。</w:t>
            </w:r>
          </w:p>
          <w:p w:rsidR="00FD24EC" w:rsidRDefault="00F327B0" w:rsidP="00C20514">
            <w:pPr>
              <w:pStyle w:val="aa"/>
              <w:numPr>
                <w:ilvl w:val="0"/>
                <w:numId w:val="6"/>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瞭解聯合國反貪公約的重要條文與執行現況。</w:t>
            </w:r>
          </w:p>
          <w:p w:rsidR="00FD24EC" w:rsidRDefault="00F327B0" w:rsidP="00C20514">
            <w:pPr>
              <w:pStyle w:val="aa"/>
              <w:numPr>
                <w:ilvl w:val="0"/>
                <w:numId w:val="6"/>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認識國際重要廉潔指數之評比方法、台灣排名以及跨國比較之意涵與爭議。</w:t>
            </w:r>
          </w:p>
          <w:p w:rsidR="00F327B0" w:rsidRPr="00F327B0" w:rsidRDefault="00F327B0" w:rsidP="00C20514">
            <w:pPr>
              <w:pStyle w:val="aa"/>
              <w:numPr>
                <w:ilvl w:val="0"/>
                <w:numId w:val="6"/>
              </w:numPr>
              <w:spacing w:line="440" w:lineRule="exact"/>
              <w:ind w:leftChars="0"/>
              <w:jc w:val="both"/>
              <w:rPr>
                <w:rFonts w:ascii="標楷體" w:eastAsia="標楷體" w:hAnsi="標楷體"/>
                <w:sz w:val="28"/>
                <w:szCs w:val="28"/>
              </w:rPr>
            </w:pPr>
            <w:r w:rsidRPr="00F327B0">
              <w:rPr>
                <w:rFonts w:ascii="標楷體" w:eastAsia="標楷體" w:hAnsi="標楷體" w:hint="eastAsia"/>
                <w:sz w:val="28"/>
                <w:szCs w:val="28"/>
              </w:rPr>
              <w:t>掌握各國發展脈動與</w:t>
            </w:r>
            <w:proofErr w:type="gramStart"/>
            <w:r w:rsidRPr="00F327B0">
              <w:rPr>
                <w:rFonts w:ascii="標楷體" w:eastAsia="標楷體" w:hAnsi="標楷體" w:hint="eastAsia"/>
                <w:sz w:val="28"/>
                <w:szCs w:val="28"/>
              </w:rPr>
              <w:t>肅</w:t>
            </w:r>
            <w:proofErr w:type="gramEnd"/>
            <w:r w:rsidRPr="00F327B0">
              <w:rPr>
                <w:rFonts w:ascii="標楷體" w:eastAsia="標楷體" w:hAnsi="標楷體" w:hint="eastAsia"/>
                <w:sz w:val="28"/>
                <w:szCs w:val="28"/>
              </w:rPr>
              <w:t>貪廉政績效。</w:t>
            </w:r>
          </w:p>
        </w:tc>
      </w:tr>
    </w:tbl>
    <w:p w:rsidR="00F327B0" w:rsidRPr="00F327B0" w:rsidRDefault="00F327B0" w:rsidP="00F327B0">
      <w:pPr>
        <w:spacing w:line="440" w:lineRule="exact"/>
        <w:rPr>
          <w:rFonts w:ascii="標楷體" w:eastAsia="標楷體" w:hAnsi="標楷體"/>
          <w:sz w:val="28"/>
          <w:szCs w:val="28"/>
        </w:rPr>
      </w:pPr>
    </w:p>
    <w:sectPr w:rsidR="00F327B0" w:rsidRPr="00F327B0" w:rsidSect="00FD2083">
      <w:footerReference w:type="default" r:id="rId8"/>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10" w:rsidRDefault="00B13110" w:rsidP="00FD2083">
      <w:r>
        <w:separator/>
      </w:r>
    </w:p>
  </w:endnote>
  <w:endnote w:type="continuationSeparator" w:id="0">
    <w:p w:rsidR="00B13110" w:rsidRDefault="00B13110" w:rsidP="00F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41233"/>
      <w:docPartObj>
        <w:docPartGallery w:val="Page Numbers (Bottom of Page)"/>
        <w:docPartUnique/>
      </w:docPartObj>
    </w:sdtPr>
    <w:sdtEndPr/>
    <w:sdtContent>
      <w:p w:rsidR="00FD2083" w:rsidRDefault="00FD2083">
        <w:pPr>
          <w:pStyle w:val="a6"/>
          <w:jc w:val="center"/>
        </w:pPr>
        <w:r>
          <w:fldChar w:fldCharType="begin"/>
        </w:r>
        <w:r>
          <w:instrText>PAGE   \* MERGEFORMAT</w:instrText>
        </w:r>
        <w:r>
          <w:fldChar w:fldCharType="separate"/>
        </w:r>
        <w:r w:rsidR="006E0471" w:rsidRPr="006E0471">
          <w:rPr>
            <w:noProof/>
            <w:lang w:val="zh-TW"/>
          </w:rPr>
          <w:t>6</w:t>
        </w:r>
        <w:r>
          <w:fldChar w:fldCharType="end"/>
        </w:r>
      </w:p>
    </w:sdtContent>
  </w:sdt>
  <w:p w:rsidR="00FD2083" w:rsidRDefault="00FD20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10" w:rsidRDefault="00B13110" w:rsidP="00FD2083">
      <w:r>
        <w:separator/>
      </w:r>
    </w:p>
  </w:footnote>
  <w:footnote w:type="continuationSeparator" w:id="0">
    <w:p w:rsidR="00B13110" w:rsidRDefault="00B13110" w:rsidP="00FD2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0B21"/>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F74133"/>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822192"/>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1105F7"/>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8906D1"/>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F4041B"/>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1908DA"/>
    <w:multiLevelType w:val="hybridMultilevel"/>
    <w:tmpl w:val="B3A2CDE6"/>
    <w:lvl w:ilvl="0" w:tplc="228E1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B0"/>
    <w:rsid w:val="000C0C00"/>
    <w:rsid w:val="003536C5"/>
    <w:rsid w:val="00570FA1"/>
    <w:rsid w:val="00660B65"/>
    <w:rsid w:val="006E0471"/>
    <w:rsid w:val="009E31B7"/>
    <w:rsid w:val="00A0763D"/>
    <w:rsid w:val="00B13110"/>
    <w:rsid w:val="00C20514"/>
    <w:rsid w:val="00C32725"/>
    <w:rsid w:val="00F03C11"/>
    <w:rsid w:val="00F327B0"/>
    <w:rsid w:val="00F701FC"/>
    <w:rsid w:val="00FD2083"/>
    <w:rsid w:val="00FD2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2083"/>
    <w:pPr>
      <w:tabs>
        <w:tab w:val="center" w:pos="4153"/>
        <w:tab w:val="right" w:pos="8306"/>
      </w:tabs>
      <w:snapToGrid w:val="0"/>
    </w:pPr>
    <w:rPr>
      <w:sz w:val="20"/>
      <w:szCs w:val="20"/>
    </w:rPr>
  </w:style>
  <w:style w:type="character" w:customStyle="1" w:styleId="a5">
    <w:name w:val="頁首 字元"/>
    <w:basedOn w:val="a0"/>
    <w:link w:val="a4"/>
    <w:uiPriority w:val="99"/>
    <w:rsid w:val="00FD2083"/>
    <w:rPr>
      <w:sz w:val="20"/>
      <w:szCs w:val="20"/>
    </w:rPr>
  </w:style>
  <w:style w:type="paragraph" w:styleId="a6">
    <w:name w:val="footer"/>
    <w:basedOn w:val="a"/>
    <w:link w:val="a7"/>
    <w:uiPriority w:val="99"/>
    <w:unhideWhenUsed/>
    <w:rsid w:val="00FD2083"/>
    <w:pPr>
      <w:tabs>
        <w:tab w:val="center" w:pos="4153"/>
        <w:tab w:val="right" w:pos="8306"/>
      </w:tabs>
      <w:snapToGrid w:val="0"/>
    </w:pPr>
    <w:rPr>
      <w:sz w:val="20"/>
      <w:szCs w:val="20"/>
    </w:rPr>
  </w:style>
  <w:style w:type="character" w:customStyle="1" w:styleId="a7">
    <w:name w:val="頁尾 字元"/>
    <w:basedOn w:val="a0"/>
    <w:link w:val="a6"/>
    <w:uiPriority w:val="99"/>
    <w:rsid w:val="00FD2083"/>
    <w:rPr>
      <w:sz w:val="20"/>
      <w:szCs w:val="20"/>
    </w:rPr>
  </w:style>
  <w:style w:type="paragraph" w:styleId="a8">
    <w:name w:val="Balloon Text"/>
    <w:basedOn w:val="a"/>
    <w:link w:val="a9"/>
    <w:uiPriority w:val="99"/>
    <w:semiHidden/>
    <w:unhideWhenUsed/>
    <w:rsid w:val="003536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36C5"/>
    <w:rPr>
      <w:rFonts w:asciiTheme="majorHAnsi" w:eastAsiaTheme="majorEastAsia" w:hAnsiTheme="majorHAnsi" w:cstheme="majorBidi"/>
      <w:sz w:val="18"/>
      <w:szCs w:val="18"/>
    </w:rPr>
  </w:style>
  <w:style w:type="paragraph" w:styleId="aa">
    <w:name w:val="List Paragraph"/>
    <w:basedOn w:val="a"/>
    <w:uiPriority w:val="34"/>
    <w:qFormat/>
    <w:rsid w:val="00FD24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2083"/>
    <w:pPr>
      <w:tabs>
        <w:tab w:val="center" w:pos="4153"/>
        <w:tab w:val="right" w:pos="8306"/>
      </w:tabs>
      <w:snapToGrid w:val="0"/>
    </w:pPr>
    <w:rPr>
      <w:sz w:val="20"/>
      <w:szCs w:val="20"/>
    </w:rPr>
  </w:style>
  <w:style w:type="character" w:customStyle="1" w:styleId="a5">
    <w:name w:val="頁首 字元"/>
    <w:basedOn w:val="a0"/>
    <w:link w:val="a4"/>
    <w:uiPriority w:val="99"/>
    <w:rsid w:val="00FD2083"/>
    <w:rPr>
      <w:sz w:val="20"/>
      <w:szCs w:val="20"/>
    </w:rPr>
  </w:style>
  <w:style w:type="paragraph" w:styleId="a6">
    <w:name w:val="footer"/>
    <w:basedOn w:val="a"/>
    <w:link w:val="a7"/>
    <w:uiPriority w:val="99"/>
    <w:unhideWhenUsed/>
    <w:rsid w:val="00FD2083"/>
    <w:pPr>
      <w:tabs>
        <w:tab w:val="center" w:pos="4153"/>
        <w:tab w:val="right" w:pos="8306"/>
      </w:tabs>
      <w:snapToGrid w:val="0"/>
    </w:pPr>
    <w:rPr>
      <w:sz w:val="20"/>
      <w:szCs w:val="20"/>
    </w:rPr>
  </w:style>
  <w:style w:type="character" w:customStyle="1" w:styleId="a7">
    <w:name w:val="頁尾 字元"/>
    <w:basedOn w:val="a0"/>
    <w:link w:val="a6"/>
    <w:uiPriority w:val="99"/>
    <w:rsid w:val="00FD2083"/>
    <w:rPr>
      <w:sz w:val="20"/>
      <w:szCs w:val="20"/>
    </w:rPr>
  </w:style>
  <w:style w:type="paragraph" w:styleId="a8">
    <w:name w:val="Balloon Text"/>
    <w:basedOn w:val="a"/>
    <w:link w:val="a9"/>
    <w:uiPriority w:val="99"/>
    <w:semiHidden/>
    <w:unhideWhenUsed/>
    <w:rsid w:val="003536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36C5"/>
    <w:rPr>
      <w:rFonts w:asciiTheme="majorHAnsi" w:eastAsiaTheme="majorEastAsia" w:hAnsiTheme="majorHAnsi" w:cstheme="majorBidi"/>
      <w:sz w:val="18"/>
      <w:szCs w:val="18"/>
    </w:rPr>
  </w:style>
  <w:style w:type="paragraph" w:styleId="aa">
    <w:name w:val="List Paragraph"/>
    <w:basedOn w:val="a"/>
    <w:uiPriority w:val="34"/>
    <w:qFormat/>
    <w:rsid w:val="00FD24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41528">
      <w:bodyDiv w:val="1"/>
      <w:marLeft w:val="0"/>
      <w:marRight w:val="0"/>
      <w:marTop w:val="0"/>
      <w:marBottom w:val="0"/>
      <w:divBdr>
        <w:top w:val="none" w:sz="0" w:space="0" w:color="auto"/>
        <w:left w:val="none" w:sz="0" w:space="0" w:color="auto"/>
        <w:bottom w:val="none" w:sz="0" w:space="0" w:color="auto"/>
        <w:right w:val="none" w:sz="0" w:space="0" w:color="auto"/>
      </w:divBdr>
    </w:div>
    <w:div w:id="1512140138">
      <w:bodyDiv w:val="1"/>
      <w:marLeft w:val="0"/>
      <w:marRight w:val="0"/>
      <w:marTop w:val="0"/>
      <w:marBottom w:val="0"/>
      <w:divBdr>
        <w:top w:val="none" w:sz="0" w:space="0" w:color="auto"/>
        <w:left w:val="none" w:sz="0" w:space="0" w:color="auto"/>
        <w:bottom w:val="none" w:sz="0" w:space="0" w:color="auto"/>
        <w:right w:val="none" w:sz="0" w:space="0" w:color="auto"/>
      </w:divBdr>
    </w:div>
    <w:div w:id="21305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12</cp:revision>
  <cp:lastPrinted>2015-04-21T06:47:00Z</cp:lastPrinted>
  <dcterms:created xsi:type="dcterms:W3CDTF">2015-04-21T06:32:00Z</dcterms:created>
  <dcterms:modified xsi:type="dcterms:W3CDTF">2015-04-21T08:56:00Z</dcterms:modified>
</cp:coreProperties>
</file>