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2B" w:rsidRPr="0049329A" w:rsidRDefault="00EB172B" w:rsidP="00E277E4">
      <w:pPr>
        <w:tabs>
          <w:tab w:val="left" w:pos="3686"/>
        </w:tabs>
        <w:adjustRightInd w:val="0"/>
        <w:snapToGrid w:val="0"/>
        <w:spacing w:line="240" w:lineRule="atLeast"/>
        <w:jc w:val="center"/>
        <w:outlineLvl w:val="0"/>
        <w:rPr>
          <w:rFonts w:ascii="標楷體" w:eastAsia="標楷體" w:hAnsi="標楷體" w:cs="Times New Roman"/>
          <w:b/>
          <w:bCs/>
          <w:color w:val="000000"/>
          <w:sz w:val="24"/>
          <w:szCs w:val="24"/>
        </w:rPr>
      </w:pPr>
      <w:r w:rsidRPr="0049329A">
        <w:rPr>
          <w:rFonts w:ascii="標楷體" w:eastAsia="標楷體" w:hAnsi="標楷體" w:cs="標楷體" w:hint="eastAsia"/>
          <w:b/>
          <w:bCs/>
          <w:color w:val="000000"/>
          <w:sz w:val="24"/>
          <w:szCs w:val="24"/>
        </w:rPr>
        <w:t>澎湖縣</w:t>
      </w:r>
      <w:r w:rsidRPr="0049329A">
        <w:rPr>
          <w:rFonts w:ascii="標楷體" w:eastAsia="標楷體" w:hAnsi="標楷體" w:cs="標楷體"/>
          <w:b/>
          <w:bCs/>
          <w:color w:val="000000"/>
          <w:sz w:val="24"/>
          <w:szCs w:val="24"/>
        </w:rPr>
        <w:t>106</w:t>
      </w:r>
      <w:r w:rsidRPr="0049329A">
        <w:rPr>
          <w:rFonts w:ascii="標楷體" w:eastAsia="標楷體" w:hAnsi="標楷體" w:cs="標楷體" w:hint="eastAsia"/>
          <w:b/>
          <w:bCs/>
          <w:color w:val="000000"/>
          <w:sz w:val="24"/>
          <w:szCs w:val="24"/>
        </w:rPr>
        <w:t>年度國民教育輔導團國中社會學習領域輔導小組</w:t>
      </w:r>
    </w:p>
    <w:p w:rsidR="00EB172B" w:rsidRPr="0049329A" w:rsidRDefault="00EB172B" w:rsidP="00320C68">
      <w:pPr>
        <w:snapToGrid w:val="0"/>
        <w:ind w:firstLineChars="50" w:firstLine="31680"/>
        <w:jc w:val="center"/>
        <w:rPr>
          <w:rFonts w:ascii="標楷體" w:eastAsia="標楷體" w:hAnsi="標楷體" w:cs="標楷體"/>
          <w:b/>
          <w:bCs/>
          <w:color w:val="000000"/>
          <w:sz w:val="24"/>
          <w:szCs w:val="24"/>
        </w:rPr>
      </w:pPr>
      <w:r w:rsidRPr="0049329A">
        <w:rPr>
          <w:rFonts w:ascii="標楷體" w:eastAsia="標楷體" w:hAnsi="標楷體" w:cs="標楷體" w:hint="eastAsia"/>
          <w:b/>
          <w:bCs/>
          <w:color w:val="000000"/>
          <w:sz w:val="24"/>
          <w:szCs w:val="24"/>
        </w:rPr>
        <w:t>十二年國民基本教育精進教學子計畫</w:t>
      </w:r>
      <w:r w:rsidRPr="0049329A">
        <w:rPr>
          <w:rFonts w:ascii="標楷體" w:eastAsia="標楷體" w:hAnsi="標楷體" w:cs="標楷體"/>
          <w:b/>
          <w:bCs/>
          <w:color w:val="000000"/>
          <w:sz w:val="24"/>
          <w:szCs w:val="24"/>
        </w:rPr>
        <w:t>(4)</w:t>
      </w:r>
    </w:p>
    <w:p w:rsidR="00EB172B" w:rsidRPr="0049329A" w:rsidRDefault="00EB172B" w:rsidP="00E277E4">
      <w:pPr>
        <w:adjustRightInd w:val="0"/>
        <w:snapToGrid w:val="0"/>
        <w:spacing w:line="240" w:lineRule="atLeast"/>
        <w:jc w:val="center"/>
        <w:rPr>
          <w:rFonts w:ascii="標楷體" w:eastAsia="標楷體" w:hAnsi="標楷體" w:cs="Times New Roman"/>
          <w:b/>
          <w:bCs/>
          <w:color w:val="000000"/>
          <w:sz w:val="24"/>
          <w:szCs w:val="24"/>
        </w:rPr>
      </w:pPr>
      <w:r w:rsidRPr="0049329A">
        <w:rPr>
          <w:rFonts w:ascii="標楷體" w:eastAsia="標楷體" w:hAnsi="標楷體" w:cs="標楷體" w:hint="eastAsia"/>
          <w:b/>
          <w:bCs/>
          <w:color w:val="000000"/>
          <w:sz w:val="24"/>
          <w:szCs w:val="24"/>
        </w:rPr>
        <w:t>「國中社會學習領域多元評量讀書會工作坊」實施計畫</w:t>
      </w:r>
    </w:p>
    <w:p w:rsidR="00EB172B" w:rsidRPr="0049329A" w:rsidRDefault="00EB172B" w:rsidP="00E277E4">
      <w:pPr>
        <w:spacing w:line="240" w:lineRule="auto"/>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一、依據：</w:t>
      </w:r>
    </w:p>
    <w:p w:rsidR="00EB172B" w:rsidRPr="0049329A" w:rsidRDefault="00EB172B" w:rsidP="00E277E4">
      <w:pPr>
        <w:spacing w:line="240" w:lineRule="auto"/>
        <w:ind w:left="480"/>
        <w:rPr>
          <w:rFonts w:ascii="標楷體" w:eastAsia="標楷體" w:hAnsi="標楷體" w:cs="Times New Roman"/>
          <w:color w:val="000000"/>
          <w:sz w:val="24"/>
          <w:szCs w:val="24"/>
        </w:rPr>
      </w:pPr>
      <w:r w:rsidRPr="0049329A">
        <w:rPr>
          <w:rFonts w:eastAsia="標楷體" w:cs="標楷體" w:hint="eastAsia"/>
          <w:color w:val="000000"/>
          <w:sz w:val="24"/>
          <w:szCs w:val="24"/>
        </w:rPr>
        <w:t>教育部國民及學前教育署補助辦理十二年國民基本教育精進國民中小學教學品質</w:t>
      </w:r>
      <w:r w:rsidRPr="0049329A">
        <w:rPr>
          <w:rFonts w:ascii="標楷體" w:eastAsia="標楷體" w:hAnsi="標楷體" w:cs="標楷體" w:hint="eastAsia"/>
          <w:color w:val="000000"/>
          <w:sz w:val="24"/>
          <w:szCs w:val="24"/>
        </w:rPr>
        <w:t>要點。</w:t>
      </w:r>
    </w:p>
    <w:p w:rsidR="00EB172B" w:rsidRPr="0049329A" w:rsidRDefault="00EB172B" w:rsidP="00320C68">
      <w:pPr>
        <w:snapToGrid w:val="0"/>
        <w:spacing w:line="240" w:lineRule="auto"/>
        <w:ind w:left="31680" w:rightChars="-289" w:right="31680" w:hangingChars="700" w:firstLine="31680"/>
        <w:jc w:val="both"/>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二、目標：</w:t>
      </w:r>
    </w:p>
    <w:p w:rsidR="00EB172B" w:rsidRPr="008D4DDA" w:rsidRDefault="00EB172B" w:rsidP="00320C68">
      <w:pPr>
        <w:snapToGrid w:val="0"/>
        <w:spacing w:line="240" w:lineRule="auto"/>
        <w:ind w:leftChars="200" w:left="31680"/>
        <w:rPr>
          <w:rFonts w:eastAsia="標楷體" w:cs="Times New Roman"/>
          <w:color w:val="000000"/>
          <w:sz w:val="24"/>
          <w:szCs w:val="24"/>
        </w:rPr>
      </w:pPr>
      <w:r w:rsidRPr="008D4DDA">
        <w:rPr>
          <w:rFonts w:ascii="標楷體" w:eastAsia="標楷體" w:hAnsi="標楷體" w:cs="標楷體" w:hint="eastAsia"/>
          <w:color w:val="000000"/>
          <w:sz w:val="24"/>
          <w:szCs w:val="24"/>
        </w:rPr>
        <w:t>（一）</w:t>
      </w:r>
      <w:r w:rsidRPr="008D4DDA">
        <w:rPr>
          <w:rFonts w:eastAsia="標楷體" w:hAnsi="標楷體" w:cs="標楷體" w:hint="eastAsia"/>
          <w:color w:val="000000"/>
          <w:sz w:val="24"/>
          <w:szCs w:val="24"/>
        </w:rPr>
        <w:t>提供縣內社會領域教師具體多元評量策略及方法，有效提昇教師專業知能。</w:t>
      </w:r>
    </w:p>
    <w:p w:rsidR="00EB172B" w:rsidRPr="008D4DDA" w:rsidRDefault="00EB172B" w:rsidP="00320C68">
      <w:pPr>
        <w:snapToGrid w:val="0"/>
        <w:spacing w:line="240" w:lineRule="auto"/>
        <w:ind w:leftChars="200" w:left="31680"/>
        <w:rPr>
          <w:rFonts w:eastAsia="標楷體" w:hAnsi="標楷體" w:cs="Times New Roman"/>
          <w:color w:val="000000"/>
          <w:sz w:val="24"/>
          <w:szCs w:val="24"/>
        </w:rPr>
      </w:pPr>
      <w:r w:rsidRPr="008D4DDA">
        <w:rPr>
          <w:rFonts w:ascii="標楷體" w:eastAsia="標楷體" w:hAnsi="標楷體" w:cs="標楷體" w:hint="eastAsia"/>
          <w:color w:val="000000"/>
          <w:sz w:val="24"/>
          <w:szCs w:val="24"/>
        </w:rPr>
        <w:t>（二）</w:t>
      </w:r>
      <w:r w:rsidRPr="008D4DDA">
        <w:rPr>
          <w:rFonts w:eastAsia="標楷體" w:hAnsi="標楷體" w:cs="標楷體" w:hint="eastAsia"/>
          <w:color w:val="000000"/>
          <w:sz w:val="24"/>
          <w:szCs w:val="24"/>
        </w:rPr>
        <w:t>透過讀書會與經驗交流，提供教師解決教學問題策略，精進教師課堂教學效能。</w:t>
      </w:r>
    </w:p>
    <w:p w:rsidR="00EB172B" w:rsidRPr="008D4DDA" w:rsidRDefault="00EB172B" w:rsidP="00320C68">
      <w:pPr>
        <w:snapToGrid w:val="0"/>
        <w:spacing w:line="240" w:lineRule="auto"/>
        <w:ind w:leftChars="200" w:left="31680"/>
        <w:rPr>
          <w:rFonts w:eastAsia="標楷體" w:hAnsi="標楷體" w:cs="Times New Roman"/>
          <w:color w:val="000000"/>
          <w:sz w:val="24"/>
          <w:szCs w:val="24"/>
        </w:rPr>
      </w:pPr>
      <w:r w:rsidRPr="008D4DDA">
        <w:rPr>
          <w:rFonts w:ascii="標楷體" w:eastAsia="標楷體" w:hAnsi="標楷體" w:cs="標楷體" w:hint="eastAsia"/>
          <w:color w:val="000000"/>
          <w:sz w:val="24"/>
          <w:szCs w:val="24"/>
        </w:rPr>
        <w:t>（三）</w:t>
      </w:r>
      <w:r w:rsidRPr="008D4DDA">
        <w:rPr>
          <w:rFonts w:eastAsia="標楷體" w:hAnsi="標楷體" w:cs="標楷體" w:hint="eastAsia"/>
          <w:color w:val="000000"/>
          <w:sz w:val="24"/>
          <w:szCs w:val="24"/>
        </w:rPr>
        <w:t>透過讀書會增進離島社會領域教師專業知能，協助精進教學。</w:t>
      </w:r>
    </w:p>
    <w:p w:rsidR="00EB172B" w:rsidRPr="008D4DDA" w:rsidRDefault="00EB172B" w:rsidP="00320C68">
      <w:pPr>
        <w:snapToGrid w:val="0"/>
        <w:spacing w:line="240" w:lineRule="auto"/>
        <w:ind w:leftChars="200" w:left="31680"/>
        <w:rPr>
          <w:rFonts w:eastAsia="標楷體" w:cs="Times New Roman"/>
          <w:color w:val="000000"/>
          <w:sz w:val="24"/>
          <w:szCs w:val="24"/>
        </w:rPr>
      </w:pPr>
      <w:r w:rsidRPr="008D4DDA">
        <w:rPr>
          <w:rFonts w:ascii="標楷體" w:eastAsia="標楷體" w:hAnsi="標楷體" w:cs="標楷體" w:hint="eastAsia"/>
          <w:color w:val="000000"/>
          <w:sz w:val="24"/>
          <w:szCs w:val="24"/>
        </w:rPr>
        <w:t>（四）</w:t>
      </w:r>
      <w:r w:rsidRPr="008D4DDA">
        <w:rPr>
          <w:rFonts w:eastAsia="標楷體" w:hAnsi="標楷體" w:cs="標楷體" w:hint="eastAsia"/>
          <w:color w:val="000000"/>
          <w:sz w:val="24"/>
          <w:szCs w:val="24"/>
        </w:rPr>
        <w:t>透過多元評量實作，將</w:t>
      </w:r>
      <w:r w:rsidRPr="008D4DDA">
        <w:rPr>
          <w:rFonts w:eastAsia="標楷體" w:hAnsi="標楷體" w:cs="標楷體" w:hint="eastAsia"/>
          <w:color w:val="000000"/>
          <w:sz w:val="24"/>
          <w:szCs w:val="24"/>
          <w:u w:val="single"/>
        </w:rPr>
        <w:t>讀書會的學習內容</w:t>
      </w:r>
      <w:r w:rsidRPr="008D4DDA">
        <w:rPr>
          <w:rFonts w:eastAsia="標楷體" w:hAnsi="標楷體" w:cs="標楷體" w:hint="eastAsia"/>
          <w:color w:val="000000"/>
          <w:sz w:val="24"/>
          <w:szCs w:val="24"/>
        </w:rPr>
        <w:t>轉化為實質的教學成果。</w:t>
      </w:r>
    </w:p>
    <w:p w:rsidR="00EB172B" w:rsidRPr="0049329A" w:rsidRDefault="00EB172B" w:rsidP="00320C68">
      <w:pPr>
        <w:spacing w:line="240" w:lineRule="auto"/>
        <w:ind w:rightChars="-289" w:right="31680"/>
        <w:jc w:val="both"/>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四、辦理單位：</w:t>
      </w:r>
    </w:p>
    <w:p w:rsidR="00EB172B" w:rsidRPr="008D4DDA" w:rsidRDefault="00EB172B" w:rsidP="00320C68">
      <w:pPr>
        <w:snapToGrid w:val="0"/>
        <w:spacing w:line="240" w:lineRule="auto"/>
        <w:ind w:leftChars="200" w:left="31680"/>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（一）指導單位：教育部國民及學前教育署</w:t>
      </w:r>
    </w:p>
    <w:p w:rsidR="00EB172B" w:rsidRPr="008D4DDA" w:rsidRDefault="00EB172B" w:rsidP="00320C68">
      <w:pPr>
        <w:snapToGrid w:val="0"/>
        <w:spacing w:line="240" w:lineRule="auto"/>
        <w:ind w:leftChars="200" w:left="31680"/>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（二）主辦單位：澎湖縣政府</w:t>
      </w:r>
    </w:p>
    <w:p w:rsidR="00EB172B" w:rsidRPr="008D4DDA" w:rsidRDefault="00EB172B" w:rsidP="00320C68">
      <w:pPr>
        <w:snapToGrid w:val="0"/>
        <w:spacing w:line="240" w:lineRule="auto"/>
        <w:ind w:leftChars="200" w:left="31680"/>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（三）承辦單位：澎湖縣國教輔導團國中社會領域輔導團</w:t>
      </w:r>
    </w:p>
    <w:p w:rsidR="00EB172B" w:rsidRPr="008D4DDA" w:rsidRDefault="00EB172B" w:rsidP="00320C68">
      <w:pPr>
        <w:snapToGrid w:val="0"/>
        <w:spacing w:line="240" w:lineRule="auto"/>
        <w:ind w:leftChars="200" w:left="31680"/>
        <w:rPr>
          <w:rFonts w:ascii="標楷體" w:eastAsia="標楷體" w:hAnsi="標楷體" w:cs="Times New Roman"/>
          <w:color w:val="000000"/>
          <w:sz w:val="24"/>
          <w:szCs w:val="24"/>
        </w:rPr>
      </w:pPr>
      <w:r>
        <w:rPr>
          <w:rFonts w:ascii="標楷體" w:eastAsia="標楷體" w:hAnsi="標楷體" w:cs="標楷體" w:hint="eastAsia"/>
          <w:color w:val="000000"/>
          <w:sz w:val="24"/>
          <w:szCs w:val="24"/>
        </w:rPr>
        <w:t>（四）協辦單位：澎湖縣立</w:t>
      </w:r>
      <w:r>
        <w:rPr>
          <w:rFonts w:ascii="標楷體" w:eastAsia="標楷體" w:hAnsi="標楷體" w:cs="標楷體" w:hint="eastAsia"/>
          <w:color w:val="000000"/>
          <w:sz w:val="24"/>
          <w:szCs w:val="24"/>
          <w:lang w:eastAsia="zh-HK"/>
        </w:rPr>
        <w:t>將澳國中</w:t>
      </w:r>
    </w:p>
    <w:p w:rsidR="00EB172B" w:rsidRPr="0049329A" w:rsidRDefault="00EB172B" w:rsidP="00320C68">
      <w:pPr>
        <w:snapToGrid w:val="0"/>
        <w:spacing w:line="240" w:lineRule="auto"/>
        <w:ind w:rightChars="-289" w:right="31680"/>
        <w:jc w:val="both"/>
        <w:rPr>
          <w:rFonts w:ascii="標楷體" w:eastAsia="標楷體" w:hAnsi="標楷體" w:cs="Times New Roman"/>
          <w:b/>
          <w:bCs/>
          <w:color w:val="000000"/>
          <w:sz w:val="24"/>
          <w:szCs w:val="24"/>
        </w:rPr>
      </w:pPr>
      <w:r w:rsidRPr="0049329A">
        <w:rPr>
          <w:rFonts w:ascii="標楷體" w:eastAsia="標楷體" w:hAnsi="標楷體" w:cs="標楷體" w:hint="eastAsia"/>
          <w:color w:val="000000"/>
          <w:sz w:val="24"/>
          <w:szCs w:val="24"/>
        </w:rPr>
        <w:t>五、參與對象</w:t>
      </w:r>
      <w:r w:rsidRPr="0049329A">
        <w:rPr>
          <w:rFonts w:ascii="標楷體" w:eastAsia="標楷體" w:hAnsi="標楷體" w:cs="標楷體" w:hint="eastAsia"/>
          <w:b/>
          <w:bCs/>
          <w:color w:val="000000"/>
          <w:sz w:val="24"/>
          <w:szCs w:val="24"/>
        </w:rPr>
        <w:t>：</w:t>
      </w:r>
      <w:r w:rsidRPr="0049329A">
        <w:rPr>
          <w:rFonts w:ascii="標楷體" w:eastAsia="標楷體" w:hAnsi="標楷體" w:cs="標楷體" w:hint="eastAsia"/>
          <w:color w:val="000000"/>
          <w:sz w:val="24"/>
          <w:szCs w:val="24"/>
        </w:rPr>
        <w:t>本縣國民中學社會領域在職教師（含代課、代理教師）、各校社會領域召集人。</w:t>
      </w:r>
    </w:p>
    <w:p w:rsidR="00EB172B" w:rsidRPr="0049329A" w:rsidRDefault="00EB172B" w:rsidP="00320C68">
      <w:pPr>
        <w:snapToGrid w:val="0"/>
        <w:spacing w:beforeLines="50" w:line="240" w:lineRule="auto"/>
        <w:ind w:rightChars="-289" w:right="31680"/>
        <w:jc w:val="both"/>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六、研習講師</w:t>
      </w:r>
      <w:r w:rsidRPr="0049329A">
        <w:rPr>
          <w:rFonts w:ascii="標楷體" w:eastAsia="標楷體" w:hAnsi="標楷體" w:cs="標楷體" w:hint="eastAsia"/>
          <w:b/>
          <w:bCs/>
          <w:color w:val="000000"/>
          <w:sz w:val="24"/>
          <w:szCs w:val="24"/>
        </w:rPr>
        <w:t>：</w:t>
      </w:r>
      <w:r>
        <w:rPr>
          <w:rFonts w:ascii="標楷體" w:eastAsia="標楷體" w:hAnsi="標楷體" w:cs="標楷體" w:hint="eastAsia"/>
          <w:color w:val="000000"/>
          <w:sz w:val="24"/>
          <w:szCs w:val="24"/>
          <w:lang w:eastAsia="zh-HK"/>
        </w:rPr>
        <w:t>林麗芬</w:t>
      </w:r>
      <w:r w:rsidRPr="0049329A">
        <w:rPr>
          <w:rFonts w:ascii="標楷體" w:eastAsia="標楷體" w:hAnsi="標楷體" w:cs="標楷體" w:hint="eastAsia"/>
          <w:color w:val="000000"/>
          <w:sz w:val="24"/>
          <w:szCs w:val="24"/>
        </w:rPr>
        <w:t>、</w:t>
      </w:r>
      <w:r>
        <w:rPr>
          <w:rFonts w:ascii="標楷體" w:eastAsia="標楷體" w:hAnsi="標楷體" w:cs="標楷體" w:hint="eastAsia"/>
          <w:color w:val="000000"/>
          <w:sz w:val="24"/>
          <w:szCs w:val="24"/>
          <w:lang w:eastAsia="zh-HK"/>
        </w:rPr>
        <w:t>王政權</w:t>
      </w:r>
    </w:p>
    <w:p w:rsidR="00EB172B" w:rsidRPr="0049329A" w:rsidRDefault="00EB172B" w:rsidP="005D1253">
      <w:pPr>
        <w:spacing w:beforeLines="50" w:line="240" w:lineRule="auto"/>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七、辦理時間：</w:t>
      </w:r>
      <w:r w:rsidRPr="0049329A">
        <w:rPr>
          <w:rFonts w:ascii="標楷體" w:eastAsia="標楷體" w:hAnsi="標楷體" w:cs="標楷體"/>
          <w:color w:val="000000"/>
          <w:sz w:val="24"/>
          <w:szCs w:val="24"/>
        </w:rPr>
        <w:t>106</w:t>
      </w:r>
      <w:r w:rsidRPr="0049329A">
        <w:rPr>
          <w:rFonts w:ascii="標楷體" w:eastAsia="標楷體" w:hAnsi="標楷體" w:cs="標楷體" w:hint="eastAsia"/>
          <w:color w:val="000000"/>
          <w:sz w:val="24"/>
          <w:szCs w:val="24"/>
        </w:rPr>
        <w:t>年</w:t>
      </w:r>
      <w:r>
        <w:rPr>
          <w:rFonts w:ascii="標楷體" w:eastAsia="標楷體" w:hAnsi="標楷體" w:cs="標楷體"/>
          <w:color w:val="000000"/>
          <w:sz w:val="24"/>
          <w:szCs w:val="24"/>
        </w:rPr>
        <w:t>8</w:t>
      </w:r>
      <w:r w:rsidRPr="0049329A">
        <w:rPr>
          <w:rFonts w:ascii="標楷體" w:eastAsia="標楷體" w:hAnsi="標楷體" w:cs="標楷體" w:hint="eastAsia"/>
          <w:color w:val="000000"/>
          <w:sz w:val="24"/>
          <w:szCs w:val="24"/>
        </w:rPr>
        <w:t>月</w:t>
      </w:r>
      <w:r>
        <w:rPr>
          <w:rFonts w:ascii="標楷體" w:eastAsia="標楷體" w:hAnsi="標楷體" w:cs="標楷體"/>
          <w:color w:val="000000"/>
          <w:sz w:val="24"/>
          <w:szCs w:val="24"/>
        </w:rPr>
        <w:t>15</w:t>
      </w:r>
      <w:r w:rsidRPr="0049329A">
        <w:rPr>
          <w:rFonts w:ascii="標楷體" w:eastAsia="標楷體" w:hAnsi="標楷體" w:cs="標楷體" w:hint="eastAsia"/>
          <w:color w:val="000000"/>
          <w:sz w:val="24"/>
          <w:szCs w:val="24"/>
          <w:lang w:eastAsia="zh-HK"/>
        </w:rPr>
        <w:t>日</w:t>
      </w:r>
      <w:r w:rsidRPr="0049329A">
        <w:rPr>
          <w:rFonts w:ascii="標楷體" w:eastAsia="標楷體" w:hAnsi="標楷體" w:cs="標楷體" w:hint="eastAsia"/>
          <w:color w:val="000000"/>
          <w:sz w:val="24"/>
          <w:szCs w:val="24"/>
        </w:rPr>
        <w:t>。</w:t>
      </w:r>
    </w:p>
    <w:p w:rsidR="00EB172B" w:rsidRPr="0049329A" w:rsidRDefault="00EB172B" w:rsidP="005D1253">
      <w:pPr>
        <w:spacing w:beforeLines="30" w:line="240" w:lineRule="auto"/>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八、研習地點：澎湖縣國教輔導團</w:t>
      </w:r>
      <w:r>
        <w:rPr>
          <w:rFonts w:ascii="標楷體" w:eastAsia="標楷體" w:hAnsi="標楷體" w:cs="標楷體" w:hint="eastAsia"/>
          <w:color w:val="000000"/>
          <w:sz w:val="24"/>
          <w:szCs w:val="24"/>
          <w:lang w:eastAsia="zh-HK"/>
        </w:rPr>
        <w:t>大會議室</w:t>
      </w:r>
      <w:r w:rsidRPr="0049329A">
        <w:rPr>
          <w:rFonts w:ascii="標楷體" w:eastAsia="標楷體" w:hAnsi="標楷體" w:cs="標楷體" w:hint="eastAsia"/>
          <w:color w:val="000000"/>
          <w:sz w:val="24"/>
          <w:szCs w:val="24"/>
        </w:rPr>
        <w:t>。</w:t>
      </w:r>
    </w:p>
    <w:p w:rsidR="00EB172B" w:rsidRPr="0049329A" w:rsidRDefault="00EB172B" w:rsidP="005D1253">
      <w:pPr>
        <w:spacing w:beforeLines="30" w:line="240" w:lineRule="auto"/>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九、辦理內容：如附件一。</w:t>
      </w:r>
    </w:p>
    <w:p w:rsidR="00EB172B" w:rsidRPr="0049329A" w:rsidRDefault="00EB172B" w:rsidP="00320C68">
      <w:pPr>
        <w:spacing w:beforeLines="30" w:line="240" w:lineRule="auto"/>
        <w:ind w:left="31680" w:hangingChars="767" w:firstLine="31680"/>
        <w:jc w:val="both"/>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十一、經費概算：如附件二。</w:t>
      </w:r>
    </w:p>
    <w:p w:rsidR="00EB172B" w:rsidRPr="0049329A" w:rsidRDefault="00EB172B" w:rsidP="00320C68">
      <w:pPr>
        <w:spacing w:line="400" w:lineRule="exact"/>
        <w:ind w:left="31680" w:hangingChars="295" w:firstLine="31680"/>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十二、經費來源：</w:t>
      </w:r>
      <w:r w:rsidRPr="00362299">
        <w:rPr>
          <w:rFonts w:ascii="標楷體" w:eastAsia="標楷體" w:hAnsi="標楷體" w:cs="標楷體" w:hint="eastAsia"/>
          <w:color w:val="FF0000"/>
          <w:sz w:val="24"/>
          <w:szCs w:val="24"/>
        </w:rPr>
        <w:t>由「教育部國民及學前教育署補助辦理十二年國民基本教育精進國中小教學品質</w:t>
      </w:r>
      <w:r w:rsidRPr="00362299">
        <w:rPr>
          <w:rFonts w:ascii="標楷體" w:eastAsia="標楷體" w:hAnsi="標楷體" w:cs="標楷體" w:hint="eastAsia"/>
          <w:color w:val="FF0000"/>
          <w:sz w:val="24"/>
          <w:szCs w:val="24"/>
          <w:lang w:eastAsia="zh-HK"/>
        </w:rPr>
        <w:t>要點</w:t>
      </w:r>
      <w:r w:rsidRPr="00362299">
        <w:rPr>
          <w:rFonts w:ascii="標楷體" w:eastAsia="標楷體" w:hAnsi="標楷體" w:cs="標楷體" w:hint="eastAsia"/>
          <w:color w:val="FF0000"/>
          <w:sz w:val="24"/>
          <w:szCs w:val="24"/>
        </w:rPr>
        <w:t>」專業成長專款下支應。</w:t>
      </w:r>
    </w:p>
    <w:p w:rsidR="00EB172B" w:rsidRDefault="00EB172B" w:rsidP="00E277E4">
      <w:pPr>
        <w:spacing w:line="240" w:lineRule="auto"/>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十三、預期效益：</w:t>
      </w:r>
    </w:p>
    <w:p w:rsidR="00EB172B" w:rsidRPr="00D54463" w:rsidRDefault="00EB172B" w:rsidP="00320C68">
      <w:pPr>
        <w:pStyle w:val="ListParagraph"/>
        <w:numPr>
          <w:ilvl w:val="0"/>
          <w:numId w:val="1"/>
        </w:numPr>
        <w:spacing w:line="240" w:lineRule="auto"/>
        <w:ind w:left="31680"/>
        <w:rPr>
          <w:rFonts w:ascii="標楷體" w:eastAsia="標楷體" w:hAnsi="標楷體" w:cs="Times New Roman"/>
          <w:color w:val="000000"/>
          <w:sz w:val="24"/>
          <w:szCs w:val="24"/>
        </w:rPr>
      </w:pPr>
      <w:r w:rsidRPr="00D54463">
        <w:rPr>
          <w:rFonts w:eastAsia="標楷體" w:hAnsi="標楷體" w:cs="標楷體" w:hint="eastAsia"/>
          <w:color w:val="000000"/>
          <w:sz w:val="24"/>
          <w:szCs w:val="24"/>
        </w:rPr>
        <w:t>提昇社會領域教師具體多元評量策略及方法，有效增進教師專業知能。</w:t>
      </w:r>
    </w:p>
    <w:p w:rsidR="00EB172B" w:rsidRPr="00D54463" w:rsidRDefault="00EB172B" w:rsidP="00320C68">
      <w:pPr>
        <w:pStyle w:val="ListParagraph"/>
        <w:numPr>
          <w:ilvl w:val="0"/>
          <w:numId w:val="1"/>
        </w:numPr>
        <w:spacing w:line="240" w:lineRule="auto"/>
        <w:ind w:left="31680"/>
        <w:rPr>
          <w:rFonts w:ascii="標楷體" w:eastAsia="標楷體" w:hAnsi="標楷體" w:cs="Times New Roman"/>
          <w:color w:val="000000"/>
          <w:sz w:val="24"/>
          <w:szCs w:val="24"/>
        </w:rPr>
      </w:pPr>
      <w:r w:rsidRPr="00D54463">
        <w:rPr>
          <w:rFonts w:eastAsia="標楷體" w:hAnsi="標楷體" w:cs="標楷體" w:hint="eastAsia"/>
          <w:color w:val="000000"/>
          <w:sz w:val="24"/>
          <w:szCs w:val="24"/>
        </w:rPr>
        <w:t>透過讀書會與經驗交流，提供教師解決教學問題策略，精進教師課堂教學效能。</w:t>
      </w:r>
    </w:p>
    <w:p w:rsidR="00EB172B" w:rsidRPr="00D54463" w:rsidRDefault="00EB172B" w:rsidP="00320C68">
      <w:pPr>
        <w:pStyle w:val="ListParagraph"/>
        <w:numPr>
          <w:ilvl w:val="0"/>
          <w:numId w:val="1"/>
        </w:numPr>
        <w:spacing w:line="240" w:lineRule="auto"/>
        <w:ind w:left="31680"/>
        <w:rPr>
          <w:rFonts w:ascii="標楷體" w:eastAsia="標楷體" w:hAnsi="標楷體" w:cs="Times New Roman"/>
          <w:color w:val="000000"/>
          <w:sz w:val="24"/>
          <w:szCs w:val="24"/>
        </w:rPr>
      </w:pPr>
      <w:r w:rsidRPr="00D54463">
        <w:rPr>
          <w:rFonts w:eastAsia="標楷體" w:hAnsi="標楷體" w:cs="標楷體" w:hint="eastAsia"/>
          <w:color w:val="000000"/>
          <w:sz w:val="24"/>
          <w:szCs w:val="24"/>
        </w:rPr>
        <w:t>將讀書會的學習內容轉化為實質的教學成果，並將多元評量融入課堂教學中。</w:t>
      </w:r>
    </w:p>
    <w:p w:rsidR="00EB172B" w:rsidRPr="0049329A" w:rsidRDefault="00EB172B" w:rsidP="00E277E4">
      <w:pPr>
        <w:spacing w:line="400" w:lineRule="exact"/>
        <w:rPr>
          <w:rFonts w:ascii="標楷體" w:eastAsia="標楷體" w:hAnsi="標楷體" w:cs="Times New Roman"/>
          <w:color w:val="000000"/>
          <w:sz w:val="24"/>
          <w:szCs w:val="24"/>
        </w:rPr>
      </w:pPr>
      <w:r w:rsidRPr="0049329A">
        <w:rPr>
          <w:rFonts w:ascii="標楷體" w:eastAsia="標楷體" w:hAnsi="標楷體" w:cs="標楷體" w:hint="eastAsia"/>
          <w:color w:val="000000"/>
          <w:sz w:val="24"/>
          <w:szCs w:val="24"/>
        </w:rPr>
        <w:t>十四、本研習實施計畫經縣府核可後實施，修正時亦同。</w:t>
      </w:r>
    </w:p>
    <w:p w:rsidR="00EB172B" w:rsidRDefault="00EB172B" w:rsidP="00E277E4">
      <w:pPr>
        <w:spacing w:after="0" w:line="240" w:lineRule="auto"/>
        <w:rPr>
          <w:rFonts w:ascii="標楷體" w:eastAsia="標楷體" w:hAnsi="標楷體" w:cs="Times New Roman"/>
          <w:color w:val="000000"/>
          <w:sz w:val="24"/>
          <w:szCs w:val="24"/>
        </w:rPr>
      </w:pPr>
      <w:r>
        <w:rPr>
          <w:rFonts w:ascii="標楷體" w:eastAsia="標楷體" w:hAnsi="標楷體" w:cs="Times New Roman"/>
          <w:color w:val="000000"/>
          <w:sz w:val="24"/>
          <w:szCs w:val="24"/>
        </w:rPr>
        <w:br w:type="page"/>
      </w:r>
    </w:p>
    <w:p w:rsidR="00EB172B" w:rsidRPr="00B600E5" w:rsidRDefault="00EB172B" w:rsidP="00E277E4">
      <w:pPr>
        <w:tabs>
          <w:tab w:val="left" w:pos="3686"/>
        </w:tabs>
        <w:adjustRightInd w:val="0"/>
        <w:snapToGrid w:val="0"/>
        <w:spacing w:before="100" w:beforeAutospacing="1" w:after="100" w:afterAutospacing="1" w:line="240" w:lineRule="atLeast"/>
        <w:outlineLvl w:val="0"/>
        <w:rPr>
          <w:rFonts w:ascii="標楷體" w:eastAsia="標楷體" w:hAnsi="標楷體" w:cs="Times New Roman"/>
          <w:b/>
          <w:bCs/>
          <w:color w:val="000000"/>
          <w:sz w:val="24"/>
          <w:szCs w:val="24"/>
        </w:rPr>
      </w:pPr>
      <w:r w:rsidRPr="0049329A">
        <w:rPr>
          <w:rFonts w:ascii="標楷體" w:eastAsia="標楷體" w:hAnsi="標楷體" w:cs="標楷體" w:hint="eastAsia"/>
          <w:b/>
          <w:bCs/>
          <w:color w:val="000000"/>
          <w:sz w:val="24"/>
          <w:szCs w:val="24"/>
        </w:rPr>
        <w:t>附件</w:t>
      </w:r>
      <w:r w:rsidRPr="0049329A">
        <w:rPr>
          <w:rFonts w:ascii="標楷體" w:eastAsia="標楷體" w:hAnsi="標楷體" w:cs="標楷體"/>
          <w:b/>
          <w:bCs/>
          <w:color w:val="000000"/>
          <w:sz w:val="24"/>
          <w:szCs w:val="24"/>
        </w:rPr>
        <w:t>4</w:t>
      </w:r>
      <w:r>
        <w:rPr>
          <w:rFonts w:ascii="標楷體" w:eastAsia="標楷體" w:hAnsi="標楷體" w:cs="標楷體"/>
          <w:b/>
          <w:bCs/>
          <w:color w:val="000000"/>
          <w:sz w:val="24"/>
          <w:szCs w:val="24"/>
        </w:rPr>
        <w:t>-1</w:t>
      </w:r>
    </w:p>
    <w:p w:rsidR="00EB172B" w:rsidRPr="00CA2C25" w:rsidRDefault="00EB172B" w:rsidP="005D1253">
      <w:pPr>
        <w:spacing w:beforeLines="30" w:line="300" w:lineRule="exact"/>
        <w:jc w:val="center"/>
        <w:rPr>
          <w:rFonts w:ascii="標楷體" w:eastAsia="標楷體" w:hAnsi="標楷體" w:cs="Times New Roman"/>
          <w:color w:val="000000"/>
          <w:sz w:val="24"/>
          <w:szCs w:val="24"/>
        </w:rPr>
      </w:pPr>
      <w:r w:rsidRPr="00CA2C25">
        <w:rPr>
          <w:rFonts w:ascii="標楷體" w:eastAsia="標楷體" w:hAnsi="標楷體" w:cs="標楷體" w:hint="eastAsia"/>
          <w:color w:val="000000"/>
          <w:sz w:val="24"/>
          <w:szCs w:val="24"/>
        </w:rPr>
        <w:t>澎湖縣</w:t>
      </w:r>
      <w:r w:rsidRPr="00CA2C25">
        <w:rPr>
          <w:rFonts w:ascii="標楷體" w:eastAsia="標楷體" w:hAnsi="標楷體" w:cs="標楷體"/>
          <w:color w:val="000000"/>
          <w:sz w:val="24"/>
          <w:szCs w:val="24"/>
        </w:rPr>
        <w:t>106</w:t>
      </w:r>
      <w:r w:rsidRPr="00CA2C25">
        <w:rPr>
          <w:rFonts w:ascii="標楷體" w:eastAsia="標楷體" w:hAnsi="標楷體" w:cs="標楷體" w:hint="eastAsia"/>
          <w:color w:val="000000"/>
          <w:sz w:val="24"/>
          <w:szCs w:val="24"/>
        </w:rPr>
        <w:t>年度教育部國民及學前教育署補助辦理十二年國民基本教育</w:t>
      </w:r>
    </w:p>
    <w:p w:rsidR="00EB172B" w:rsidRPr="00CA2C25" w:rsidRDefault="00EB172B" w:rsidP="005D1253">
      <w:pPr>
        <w:spacing w:beforeLines="30" w:line="300" w:lineRule="exact"/>
        <w:jc w:val="center"/>
        <w:rPr>
          <w:rFonts w:ascii="標楷體" w:eastAsia="標楷體" w:hAnsi="標楷體" w:cs="Times New Roman"/>
          <w:color w:val="000000"/>
          <w:sz w:val="24"/>
          <w:szCs w:val="24"/>
        </w:rPr>
      </w:pPr>
      <w:r w:rsidRPr="00CA2C25">
        <w:rPr>
          <w:rFonts w:ascii="標楷體" w:eastAsia="標楷體" w:hAnsi="標楷體" w:cs="標楷體" w:hint="eastAsia"/>
          <w:color w:val="000000"/>
          <w:sz w:val="24"/>
          <w:szCs w:val="24"/>
        </w:rPr>
        <w:t>精進國民中小學教學品質計畫</w:t>
      </w:r>
      <w:r w:rsidRPr="00CA2C25">
        <w:rPr>
          <w:rFonts w:ascii="標楷體" w:eastAsia="標楷體" w:hAnsi="標楷體" w:cs="標楷體"/>
          <w:color w:val="000000"/>
          <w:sz w:val="24"/>
          <w:szCs w:val="24"/>
        </w:rPr>
        <w:t>-</w:t>
      </w:r>
      <w:r w:rsidRPr="00CA2C25">
        <w:rPr>
          <w:rFonts w:ascii="標楷體" w:eastAsia="標楷體" w:hAnsi="標楷體" w:cs="標楷體" w:hint="eastAsia"/>
          <w:color w:val="000000"/>
          <w:sz w:val="24"/>
          <w:szCs w:val="24"/>
        </w:rPr>
        <w:t>國中社會學習領域多元評量讀書會工作坊實施計畫</w:t>
      </w:r>
    </w:p>
    <w:p w:rsidR="00EB172B" w:rsidRPr="00B600E5" w:rsidRDefault="00EB172B" w:rsidP="005D1253">
      <w:pPr>
        <w:spacing w:beforeLines="30" w:line="300" w:lineRule="exact"/>
        <w:jc w:val="center"/>
        <w:rPr>
          <w:rFonts w:ascii="標楷體" w:eastAsia="標楷體" w:hAnsi="標楷體" w:cs="Times New Roman"/>
          <w:b/>
          <w:bCs/>
          <w:color w:val="000000"/>
          <w:sz w:val="24"/>
          <w:szCs w:val="24"/>
        </w:rPr>
      </w:pPr>
      <w:r w:rsidRPr="00CA2C25">
        <w:rPr>
          <w:rFonts w:ascii="標楷體" w:eastAsia="標楷體" w:hAnsi="標楷體" w:cs="標楷體" w:hint="eastAsia"/>
          <w:color w:val="000000"/>
          <w:sz w:val="24"/>
          <w:szCs w:val="24"/>
        </w:rPr>
        <w:t>課程表</w:t>
      </w:r>
    </w:p>
    <w:tbl>
      <w:tblPr>
        <w:tblpPr w:leftFromText="180" w:rightFromText="180" w:vertAnchor="text" w:horzAnchor="margin" w:tblpY="2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981"/>
        <w:gridCol w:w="2463"/>
        <w:gridCol w:w="3918"/>
      </w:tblGrid>
      <w:tr w:rsidR="00EB172B" w:rsidRPr="0049329A">
        <w:trPr>
          <w:trHeight w:val="567"/>
        </w:trPr>
        <w:tc>
          <w:tcPr>
            <w:tcW w:w="1184" w:type="pct"/>
            <w:shd w:val="clear" w:color="auto" w:fill="BFBFBF"/>
            <w:vAlign w:val="center"/>
          </w:tcPr>
          <w:p w:rsidR="00EB172B" w:rsidRPr="00B600E5" w:rsidRDefault="00EB172B" w:rsidP="00F84332">
            <w:pPr>
              <w:spacing w:after="0" w:line="240" w:lineRule="exact"/>
              <w:jc w:val="center"/>
              <w:rPr>
                <w:rFonts w:ascii="標楷體" w:eastAsia="標楷體" w:hAnsi="標楷體" w:cs="標楷體"/>
                <w:sz w:val="24"/>
                <w:szCs w:val="24"/>
              </w:rPr>
            </w:pPr>
            <w:r w:rsidRPr="00B600E5">
              <w:rPr>
                <w:rFonts w:ascii="標楷體" w:eastAsia="標楷體" w:hAnsi="標楷體" w:cs="標楷體" w:hint="eastAsia"/>
                <w:sz w:val="24"/>
                <w:szCs w:val="24"/>
              </w:rPr>
              <w:t>時間</w:t>
            </w:r>
            <w:r>
              <w:rPr>
                <w:rFonts w:ascii="標楷體" w:eastAsia="標楷體" w:hAnsi="標楷體" w:cs="標楷體"/>
                <w:sz w:val="24"/>
                <w:szCs w:val="24"/>
              </w:rPr>
              <w:t>(8</w:t>
            </w:r>
            <w:r w:rsidRPr="00B600E5">
              <w:rPr>
                <w:rFonts w:ascii="標楷體" w:eastAsia="標楷體" w:hAnsi="標楷體" w:cs="標楷體" w:hint="eastAsia"/>
                <w:sz w:val="24"/>
                <w:szCs w:val="24"/>
              </w:rPr>
              <w:t>月</w:t>
            </w:r>
            <w:r>
              <w:rPr>
                <w:rFonts w:ascii="標楷體" w:eastAsia="標楷體" w:hAnsi="標楷體" w:cs="標楷體"/>
                <w:sz w:val="24"/>
                <w:szCs w:val="24"/>
              </w:rPr>
              <w:t>15</w:t>
            </w:r>
            <w:r w:rsidRPr="00B600E5">
              <w:rPr>
                <w:rFonts w:ascii="標楷體" w:eastAsia="標楷體" w:hAnsi="標楷體" w:cs="標楷體" w:hint="eastAsia"/>
                <w:sz w:val="24"/>
                <w:szCs w:val="24"/>
              </w:rPr>
              <w:t>日</w:t>
            </w:r>
            <w:r w:rsidRPr="00B600E5">
              <w:rPr>
                <w:rFonts w:ascii="標楷體" w:eastAsia="標楷體" w:hAnsi="標楷體" w:cs="標楷體"/>
                <w:sz w:val="24"/>
                <w:szCs w:val="24"/>
              </w:rPr>
              <w:t>)</w:t>
            </w:r>
          </w:p>
          <w:p w:rsidR="00EB172B" w:rsidRPr="00B600E5" w:rsidRDefault="00EB172B" w:rsidP="00F84332">
            <w:pPr>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第一場</w:t>
            </w:r>
          </w:p>
        </w:tc>
        <w:tc>
          <w:tcPr>
            <w:tcW w:w="1473" w:type="pct"/>
            <w:shd w:val="clear" w:color="auto" w:fill="BFBFBF"/>
            <w:vAlign w:val="center"/>
          </w:tcPr>
          <w:p w:rsidR="00EB172B" w:rsidRPr="00B600E5" w:rsidRDefault="00EB172B" w:rsidP="00F84332">
            <w:pPr>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活動內容</w:t>
            </w:r>
          </w:p>
        </w:tc>
        <w:tc>
          <w:tcPr>
            <w:tcW w:w="2343" w:type="pct"/>
            <w:shd w:val="clear" w:color="auto" w:fill="BFBFBF"/>
            <w:vAlign w:val="center"/>
          </w:tcPr>
          <w:p w:rsidR="00EB172B" w:rsidRPr="00B600E5" w:rsidRDefault="00EB172B" w:rsidP="00F84332">
            <w:pPr>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主持人</w:t>
            </w:r>
          </w:p>
        </w:tc>
      </w:tr>
      <w:tr w:rsidR="00EB172B" w:rsidRPr="0049329A">
        <w:trPr>
          <w:trHeight w:val="567"/>
        </w:trPr>
        <w:tc>
          <w:tcPr>
            <w:tcW w:w="1184" w:type="pct"/>
            <w:vAlign w:val="center"/>
          </w:tcPr>
          <w:p w:rsidR="00EB172B" w:rsidRPr="00B600E5" w:rsidRDefault="00EB172B" w:rsidP="00F84332">
            <w:pPr>
              <w:spacing w:after="0" w:line="240" w:lineRule="exact"/>
              <w:jc w:val="center"/>
              <w:rPr>
                <w:rFonts w:ascii="標楷體" w:eastAsia="標楷體" w:hAnsi="標楷體" w:cs="標楷體"/>
                <w:sz w:val="24"/>
                <w:szCs w:val="24"/>
              </w:rPr>
            </w:pPr>
            <w:r w:rsidRPr="00B600E5">
              <w:rPr>
                <w:rFonts w:ascii="標楷體" w:eastAsia="標楷體" w:hAnsi="標楷體" w:cs="標楷體"/>
                <w:sz w:val="24"/>
                <w:szCs w:val="24"/>
              </w:rPr>
              <w:t>8:30-9:00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報到</w:t>
            </w:r>
          </w:p>
        </w:tc>
        <w:tc>
          <w:tcPr>
            <w:tcW w:w="2343" w:type="pct"/>
            <w:vAlign w:val="center"/>
          </w:tcPr>
          <w:p w:rsidR="00EB172B" w:rsidRPr="00B600E5" w:rsidRDefault="00EB172B" w:rsidP="00F84332">
            <w:pPr>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社會領域輔導小組團隊</w:t>
            </w:r>
          </w:p>
        </w:tc>
      </w:tr>
      <w:tr w:rsidR="00EB172B" w:rsidRPr="0049329A">
        <w:trPr>
          <w:trHeight w:val="567"/>
        </w:trPr>
        <w:tc>
          <w:tcPr>
            <w:tcW w:w="1184" w:type="pct"/>
            <w:vAlign w:val="center"/>
          </w:tcPr>
          <w:p w:rsidR="00EB172B" w:rsidRPr="00B600E5" w:rsidRDefault="00EB172B" w:rsidP="00F84332">
            <w:pPr>
              <w:spacing w:after="0" w:line="240" w:lineRule="exact"/>
              <w:jc w:val="center"/>
              <w:rPr>
                <w:rFonts w:ascii="標楷體" w:eastAsia="標楷體" w:hAnsi="標楷體" w:cs="標楷體"/>
                <w:sz w:val="24"/>
                <w:szCs w:val="24"/>
              </w:rPr>
            </w:pPr>
            <w:r w:rsidRPr="00B600E5">
              <w:rPr>
                <w:rFonts w:ascii="標楷體" w:eastAsia="標楷體" w:hAnsi="標楷體" w:cs="標楷體"/>
                <w:sz w:val="24"/>
                <w:szCs w:val="24"/>
              </w:rPr>
              <w:t>9:00-9:50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專書導讀</w:t>
            </w:r>
          </w:p>
        </w:tc>
        <w:tc>
          <w:tcPr>
            <w:tcW w:w="2343" w:type="pct"/>
            <w:vAlign w:val="center"/>
          </w:tcPr>
          <w:p w:rsidR="00EB172B" w:rsidRPr="00B600E5" w:rsidRDefault="00EB172B" w:rsidP="00E277E4">
            <w:pPr>
              <w:adjustRightInd w:val="0"/>
              <w:spacing w:after="0" w:line="240" w:lineRule="exact"/>
              <w:jc w:val="center"/>
              <w:rPr>
                <w:rFonts w:ascii="標楷體" w:eastAsia="標楷體" w:hAnsi="標楷體" w:cs="Times New Roman"/>
                <w:sz w:val="24"/>
                <w:szCs w:val="24"/>
              </w:rPr>
            </w:pPr>
            <w:r>
              <w:rPr>
                <w:rFonts w:ascii="標楷體" w:eastAsia="標楷體" w:hAnsi="標楷體" w:cs="標楷體" w:hint="eastAsia"/>
                <w:sz w:val="24"/>
                <w:szCs w:val="24"/>
                <w:lang w:eastAsia="zh-HK"/>
              </w:rPr>
              <w:t>王政權</w:t>
            </w:r>
          </w:p>
        </w:tc>
      </w:tr>
      <w:tr w:rsidR="00EB172B" w:rsidRPr="0049329A">
        <w:trPr>
          <w:trHeight w:val="567"/>
        </w:trPr>
        <w:tc>
          <w:tcPr>
            <w:tcW w:w="1184" w:type="pct"/>
            <w:vAlign w:val="center"/>
          </w:tcPr>
          <w:p w:rsidR="00EB172B" w:rsidRPr="00B600E5" w:rsidRDefault="00EB172B" w:rsidP="00F84332">
            <w:pPr>
              <w:spacing w:after="0" w:line="240" w:lineRule="exact"/>
              <w:jc w:val="center"/>
              <w:rPr>
                <w:rFonts w:ascii="標楷體" w:eastAsia="標楷體" w:hAnsi="標楷體" w:cs="標楷體"/>
                <w:sz w:val="24"/>
                <w:szCs w:val="24"/>
              </w:rPr>
            </w:pPr>
            <w:r w:rsidRPr="00B600E5">
              <w:rPr>
                <w:rFonts w:ascii="標楷體" w:eastAsia="標楷體" w:hAnsi="標楷體" w:cs="標楷體"/>
                <w:sz w:val="24"/>
                <w:szCs w:val="24"/>
              </w:rPr>
              <w:t>10:00-10:50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專書結合多元評量教學策略專題分享</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Pr>
                <w:rFonts w:ascii="標楷體" w:eastAsia="標楷體" w:hAnsi="標楷體" w:cs="標楷體" w:hint="eastAsia"/>
                <w:sz w:val="24"/>
                <w:szCs w:val="24"/>
                <w:lang w:eastAsia="zh-HK"/>
              </w:rPr>
              <w:t>王政權</w:t>
            </w:r>
          </w:p>
        </w:tc>
      </w:tr>
      <w:tr w:rsidR="00EB172B" w:rsidRPr="0049329A">
        <w:trPr>
          <w:trHeight w:val="567"/>
        </w:trPr>
        <w:tc>
          <w:tcPr>
            <w:tcW w:w="1184" w:type="pct"/>
            <w:vAlign w:val="center"/>
          </w:tcPr>
          <w:p w:rsidR="00EB172B" w:rsidRPr="00B600E5" w:rsidRDefault="00EB172B" w:rsidP="00F84332">
            <w:pPr>
              <w:spacing w:after="0" w:line="240" w:lineRule="exact"/>
              <w:jc w:val="center"/>
              <w:rPr>
                <w:rFonts w:ascii="標楷體" w:eastAsia="標楷體" w:hAnsi="標楷體" w:cs="標楷體"/>
                <w:sz w:val="24"/>
                <w:szCs w:val="24"/>
              </w:rPr>
            </w:pPr>
            <w:r w:rsidRPr="00B600E5">
              <w:rPr>
                <w:rFonts w:ascii="標楷體" w:eastAsia="標楷體" w:hAnsi="標楷體" w:cs="標楷體"/>
                <w:sz w:val="24"/>
                <w:szCs w:val="24"/>
              </w:rPr>
              <w:t>11:00-11:50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lang w:eastAsia="zh-HK"/>
              </w:rPr>
            </w:pPr>
            <w:r w:rsidRPr="00127A14">
              <w:rPr>
                <w:rFonts w:ascii="標楷體" w:eastAsia="標楷體" w:hAnsi="標楷體" w:cs="標楷體" w:hint="eastAsia"/>
                <w:color w:val="FF0000"/>
                <w:sz w:val="24"/>
                <w:szCs w:val="24"/>
              </w:rPr>
              <w:t>專書結合多元評量教學策略</w:t>
            </w:r>
            <w:r w:rsidRPr="00127A14">
              <w:rPr>
                <w:rFonts w:ascii="標楷體" w:eastAsia="標楷體" w:hAnsi="標楷體" w:cs="標楷體" w:hint="eastAsia"/>
                <w:color w:val="FF0000"/>
                <w:sz w:val="24"/>
                <w:szCs w:val="24"/>
                <w:lang w:eastAsia="zh-HK"/>
              </w:rPr>
              <w:t>實作</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Pr>
                <w:rFonts w:ascii="標楷體" w:eastAsia="標楷體" w:hAnsi="標楷體" w:cs="標楷體" w:hint="eastAsia"/>
                <w:sz w:val="24"/>
                <w:szCs w:val="24"/>
                <w:lang w:eastAsia="zh-HK"/>
              </w:rPr>
              <w:t>王政權</w:t>
            </w:r>
          </w:p>
        </w:tc>
      </w:tr>
      <w:tr w:rsidR="00EB172B" w:rsidRPr="0049329A">
        <w:trPr>
          <w:trHeight w:val="567"/>
        </w:trPr>
        <w:tc>
          <w:tcPr>
            <w:tcW w:w="1184" w:type="pct"/>
            <w:vAlign w:val="center"/>
          </w:tcPr>
          <w:p w:rsidR="00EB172B" w:rsidRPr="00B600E5" w:rsidRDefault="00EB172B" w:rsidP="00F84332">
            <w:pPr>
              <w:spacing w:after="0" w:line="240" w:lineRule="exact"/>
              <w:jc w:val="center"/>
              <w:rPr>
                <w:rFonts w:ascii="標楷體" w:eastAsia="標楷體" w:hAnsi="標楷體" w:cs="標楷體"/>
                <w:sz w:val="24"/>
                <w:szCs w:val="24"/>
              </w:rPr>
            </w:pPr>
            <w:r w:rsidRPr="00B600E5">
              <w:rPr>
                <w:rFonts w:ascii="標楷體" w:eastAsia="標楷體" w:hAnsi="標楷體" w:cs="標楷體"/>
                <w:sz w:val="24"/>
                <w:szCs w:val="24"/>
              </w:rPr>
              <w:t>11:50-12:10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綜合座談</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社會領域輔導小組團隊</w:t>
            </w:r>
          </w:p>
        </w:tc>
      </w:tr>
      <w:tr w:rsidR="00EB172B" w:rsidRPr="0049329A">
        <w:trPr>
          <w:trHeight w:val="567"/>
        </w:trPr>
        <w:tc>
          <w:tcPr>
            <w:tcW w:w="1184" w:type="pct"/>
            <w:shd w:val="clear" w:color="auto" w:fill="BFBFBF"/>
            <w:vAlign w:val="center"/>
          </w:tcPr>
          <w:p w:rsidR="00EB172B" w:rsidRPr="00B600E5" w:rsidRDefault="00EB172B" w:rsidP="00F84332">
            <w:pPr>
              <w:spacing w:after="0" w:line="240" w:lineRule="exact"/>
              <w:jc w:val="center"/>
              <w:rPr>
                <w:rFonts w:ascii="標楷體" w:eastAsia="標楷體" w:hAnsi="標楷體" w:cs="標楷體"/>
                <w:sz w:val="24"/>
                <w:szCs w:val="24"/>
              </w:rPr>
            </w:pPr>
            <w:r w:rsidRPr="00B600E5">
              <w:rPr>
                <w:rFonts w:ascii="標楷體" w:eastAsia="標楷體" w:hAnsi="標楷體" w:cs="標楷體" w:hint="eastAsia"/>
                <w:sz w:val="24"/>
                <w:szCs w:val="24"/>
              </w:rPr>
              <w:t>時間</w:t>
            </w:r>
            <w:r>
              <w:rPr>
                <w:rFonts w:ascii="標楷體" w:eastAsia="標楷體" w:hAnsi="標楷體" w:cs="標楷體"/>
                <w:sz w:val="24"/>
                <w:szCs w:val="24"/>
              </w:rPr>
              <w:t>(8</w:t>
            </w:r>
            <w:r w:rsidRPr="00B600E5">
              <w:rPr>
                <w:rFonts w:ascii="標楷體" w:eastAsia="標楷體" w:hAnsi="標楷體" w:cs="標楷體" w:hint="eastAsia"/>
                <w:sz w:val="24"/>
                <w:szCs w:val="24"/>
              </w:rPr>
              <w:t>月</w:t>
            </w:r>
            <w:r>
              <w:rPr>
                <w:rFonts w:ascii="標楷體" w:eastAsia="標楷體" w:hAnsi="標楷體" w:cs="標楷體"/>
                <w:sz w:val="24"/>
                <w:szCs w:val="24"/>
              </w:rPr>
              <w:t>1</w:t>
            </w:r>
            <w:r w:rsidRPr="00B600E5">
              <w:rPr>
                <w:rFonts w:ascii="標楷體" w:eastAsia="標楷體" w:hAnsi="標楷體" w:cs="標楷體"/>
                <w:sz w:val="24"/>
                <w:szCs w:val="24"/>
              </w:rPr>
              <w:t>5</w:t>
            </w:r>
            <w:r w:rsidRPr="00B600E5">
              <w:rPr>
                <w:rFonts w:ascii="標楷體" w:eastAsia="標楷體" w:hAnsi="標楷體" w:cs="標楷體" w:hint="eastAsia"/>
                <w:sz w:val="24"/>
                <w:szCs w:val="24"/>
              </w:rPr>
              <w:t>日</w:t>
            </w:r>
            <w:r w:rsidRPr="00B600E5">
              <w:rPr>
                <w:rFonts w:ascii="標楷體" w:eastAsia="標楷體" w:hAnsi="標楷體" w:cs="標楷體"/>
                <w:sz w:val="24"/>
                <w:szCs w:val="24"/>
              </w:rPr>
              <w:t>)</w:t>
            </w:r>
          </w:p>
          <w:p w:rsidR="00EB172B" w:rsidRPr="00B600E5" w:rsidRDefault="00EB172B" w:rsidP="00F84332">
            <w:pPr>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第二場</w:t>
            </w:r>
          </w:p>
        </w:tc>
        <w:tc>
          <w:tcPr>
            <w:tcW w:w="1473" w:type="pct"/>
            <w:shd w:val="clear" w:color="auto" w:fill="BFBFBF"/>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BE2ADC">
              <w:rPr>
                <w:rFonts w:ascii="標楷體" w:eastAsia="標楷體" w:hAnsi="標楷體" w:cs="標楷體" w:hint="eastAsia"/>
                <w:color w:val="000000"/>
                <w:sz w:val="24"/>
                <w:szCs w:val="24"/>
              </w:rPr>
              <w:t>活動內容</w:t>
            </w:r>
          </w:p>
        </w:tc>
        <w:tc>
          <w:tcPr>
            <w:tcW w:w="2343" w:type="pct"/>
            <w:shd w:val="clear" w:color="auto" w:fill="BFBFBF"/>
            <w:vAlign w:val="center"/>
          </w:tcPr>
          <w:p w:rsidR="00EB172B" w:rsidRPr="00B600E5" w:rsidRDefault="00EB172B" w:rsidP="00F84332">
            <w:pPr>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主持人</w:t>
            </w:r>
          </w:p>
        </w:tc>
      </w:tr>
      <w:tr w:rsidR="00EB172B" w:rsidRPr="0049329A">
        <w:trPr>
          <w:trHeight w:val="567"/>
        </w:trPr>
        <w:tc>
          <w:tcPr>
            <w:tcW w:w="1184" w:type="pct"/>
            <w:vAlign w:val="center"/>
          </w:tcPr>
          <w:p w:rsidR="00EB172B" w:rsidRPr="00B600E5" w:rsidRDefault="00EB172B" w:rsidP="00300DAC">
            <w:pPr>
              <w:spacing w:after="0" w:line="240" w:lineRule="exact"/>
              <w:jc w:val="center"/>
              <w:rPr>
                <w:rFonts w:ascii="標楷體" w:eastAsia="標楷體" w:hAnsi="標楷體" w:cs="標楷體"/>
                <w:sz w:val="24"/>
                <w:szCs w:val="24"/>
              </w:rPr>
            </w:pPr>
            <w:r>
              <w:rPr>
                <w:rFonts w:ascii="標楷體" w:eastAsia="標楷體" w:hAnsi="標楷體" w:cs="標楷體"/>
                <w:sz w:val="24"/>
                <w:szCs w:val="24"/>
              </w:rPr>
              <w:t>13</w:t>
            </w:r>
            <w:r w:rsidRPr="00B600E5">
              <w:rPr>
                <w:rFonts w:ascii="標楷體" w:eastAsia="標楷體" w:hAnsi="標楷體" w:cs="標楷體"/>
                <w:sz w:val="24"/>
                <w:szCs w:val="24"/>
              </w:rPr>
              <w:t>:</w:t>
            </w:r>
            <w:r>
              <w:rPr>
                <w:rFonts w:ascii="標楷體" w:eastAsia="標楷體" w:hAnsi="標楷體" w:cs="標楷體"/>
                <w:sz w:val="24"/>
                <w:szCs w:val="24"/>
              </w:rPr>
              <w:t>2</w:t>
            </w:r>
            <w:r w:rsidRPr="00B600E5">
              <w:rPr>
                <w:rFonts w:ascii="標楷體" w:eastAsia="標楷體" w:hAnsi="標楷體" w:cs="標楷體"/>
                <w:sz w:val="24"/>
                <w:szCs w:val="24"/>
              </w:rPr>
              <w:t>0-1</w:t>
            </w:r>
            <w:r>
              <w:rPr>
                <w:rFonts w:ascii="標楷體" w:eastAsia="標楷體" w:hAnsi="標楷體" w:cs="標楷體"/>
                <w:sz w:val="24"/>
                <w:szCs w:val="24"/>
              </w:rPr>
              <w:t>3</w:t>
            </w:r>
            <w:r w:rsidRPr="00B600E5">
              <w:rPr>
                <w:rFonts w:ascii="標楷體" w:eastAsia="標楷體" w:hAnsi="標楷體" w:cs="標楷體"/>
                <w:sz w:val="24"/>
                <w:szCs w:val="24"/>
              </w:rPr>
              <w:t>:</w:t>
            </w:r>
            <w:r>
              <w:rPr>
                <w:rFonts w:ascii="標楷體" w:eastAsia="標楷體" w:hAnsi="標楷體" w:cs="標楷體"/>
                <w:sz w:val="24"/>
                <w:szCs w:val="24"/>
              </w:rPr>
              <w:t>3</w:t>
            </w:r>
            <w:r w:rsidRPr="00B600E5">
              <w:rPr>
                <w:rFonts w:ascii="標楷體" w:eastAsia="標楷體" w:hAnsi="標楷體" w:cs="標楷體"/>
                <w:sz w:val="24"/>
                <w:szCs w:val="24"/>
              </w:rPr>
              <w:t>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報到</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社會領域輔導小組團隊</w:t>
            </w:r>
          </w:p>
        </w:tc>
      </w:tr>
      <w:tr w:rsidR="00EB172B" w:rsidRPr="0049329A">
        <w:trPr>
          <w:trHeight w:val="567"/>
        </w:trPr>
        <w:tc>
          <w:tcPr>
            <w:tcW w:w="1184" w:type="pct"/>
            <w:vAlign w:val="center"/>
          </w:tcPr>
          <w:p w:rsidR="00EB172B" w:rsidRPr="00B600E5" w:rsidRDefault="00EB172B" w:rsidP="00300DAC">
            <w:pPr>
              <w:spacing w:after="0" w:line="240" w:lineRule="exact"/>
              <w:jc w:val="center"/>
              <w:rPr>
                <w:rFonts w:ascii="標楷體" w:eastAsia="標楷體" w:hAnsi="標楷體" w:cs="標楷體"/>
                <w:sz w:val="24"/>
                <w:szCs w:val="24"/>
              </w:rPr>
            </w:pPr>
            <w:r>
              <w:rPr>
                <w:rFonts w:ascii="標楷體" w:eastAsia="標楷體" w:hAnsi="標楷體" w:cs="標楷體"/>
                <w:sz w:val="24"/>
                <w:szCs w:val="24"/>
              </w:rPr>
              <w:t>13</w:t>
            </w:r>
            <w:r w:rsidRPr="00B600E5">
              <w:rPr>
                <w:rFonts w:ascii="標楷體" w:eastAsia="標楷體" w:hAnsi="標楷體" w:cs="標楷體"/>
                <w:sz w:val="24"/>
                <w:szCs w:val="24"/>
              </w:rPr>
              <w:t>:</w:t>
            </w:r>
            <w:r>
              <w:rPr>
                <w:rFonts w:ascii="標楷體" w:eastAsia="標楷體" w:hAnsi="標楷體" w:cs="標楷體"/>
                <w:sz w:val="24"/>
                <w:szCs w:val="24"/>
              </w:rPr>
              <w:t>3</w:t>
            </w:r>
            <w:r w:rsidRPr="00B600E5">
              <w:rPr>
                <w:rFonts w:ascii="標楷體" w:eastAsia="標楷體" w:hAnsi="標楷體" w:cs="標楷體"/>
                <w:sz w:val="24"/>
                <w:szCs w:val="24"/>
              </w:rPr>
              <w:t>0-1</w:t>
            </w:r>
            <w:r>
              <w:rPr>
                <w:rFonts w:ascii="標楷體" w:eastAsia="標楷體" w:hAnsi="標楷體" w:cs="標楷體"/>
                <w:sz w:val="24"/>
                <w:szCs w:val="24"/>
              </w:rPr>
              <w:t>4</w:t>
            </w:r>
            <w:r w:rsidRPr="00B600E5">
              <w:rPr>
                <w:rFonts w:ascii="標楷體" w:eastAsia="標楷體" w:hAnsi="標楷體" w:cs="標楷體"/>
                <w:sz w:val="24"/>
                <w:szCs w:val="24"/>
              </w:rPr>
              <w:t>:</w:t>
            </w:r>
            <w:r>
              <w:rPr>
                <w:rFonts w:ascii="標楷體" w:eastAsia="標楷體" w:hAnsi="標楷體" w:cs="標楷體"/>
                <w:sz w:val="24"/>
                <w:szCs w:val="24"/>
              </w:rPr>
              <w:t>3</w:t>
            </w:r>
            <w:r w:rsidRPr="00B600E5">
              <w:rPr>
                <w:rFonts w:ascii="標楷體" w:eastAsia="標楷體" w:hAnsi="標楷體" w:cs="標楷體"/>
                <w:sz w:val="24"/>
                <w:szCs w:val="24"/>
              </w:rPr>
              <w:t>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專書導讀</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Pr>
                <w:rFonts w:ascii="標楷體" w:eastAsia="標楷體" w:hAnsi="標楷體" w:cs="標楷體" w:hint="eastAsia"/>
                <w:sz w:val="24"/>
                <w:szCs w:val="24"/>
                <w:lang w:eastAsia="zh-HK"/>
              </w:rPr>
              <w:t>林麗芬</w:t>
            </w:r>
          </w:p>
        </w:tc>
      </w:tr>
      <w:tr w:rsidR="00EB172B" w:rsidRPr="0049329A">
        <w:trPr>
          <w:trHeight w:val="567"/>
        </w:trPr>
        <w:tc>
          <w:tcPr>
            <w:tcW w:w="1184" w:type="pct"/>
            <w:vAlign w:val="center"/>
          </w:tcPr>
          <w:p w:rsidR="00EB172B" w:rsidRPr="00B600E5" w:rsidRDefault="00EB172B" w:rsidP="00300DAC">
            <w:pPr>
              <w:spacing w:after="0" w:line="240" w:lineRule="exact"/>
              <w:jc w:val="center"/>
              <w:rPr>
                <w:rFonts w:ascii="標楷體" w:eastAsia="標楷體" w:hAnsi="標楷體" w:cs="標楷體"/>
                <w:sz w:val="24"/>
                <w:szCs w:val="24"/>
              </w:rPr>
            </w:pPr>
            <w:r>
              <w:rPr>
                <w:rFonts w:ascii="標楷體" w:eastAsia="標楷體" w:hAnsi="標楷體" w:cs="標楷體"/>
                <w:sz w:val="24"/>
                <w:szCs w:val="24"/>
              </w:rPr>
              <w:t>14</w:t>
            </w:r>
            <w:r w:rsidRPr="00B600E5">
              <w:rPr>
                <w:rFonts w:ascii="標楷體" w:eastAsia="標楷體" w:hAnsi="標楷體" w:cs="標楷體"/>
                <w:sz w:val="24"/>
                <w:szCs w:val="24"/>
              </w:rPr>
              <w:t>:</w:t>
            </w:r>
            <w:r>
              <w:rPr>
                <w:rFonts w:ascii="標楷體" w:eastAsia="標楷體" w:hAnsi="標楷體" w:cs="標楷體"/>
                <w:sz w:val="24"/>
                <w:szCs w:val="24"/>
              </w:rPr>
              <w:t>3</w:t>
            </w:r>
            <w:r w:rsidRPr="00B600E5">
              <w:rPr>
                <w:rFonts w:ascii="標楷體" w:eastAsia="標楷體" w:hAnsi="標楷體" w:cs="標楷體"/>
                <w:sz w:val="24"/>
                <w:szCs w:val="24"/>
              </w:rPr>
              <w:t>0-1</w:t>
            </w:r>
            <w:r>
              <w:rPr>
                <w:rFonts w:ascii="標楷體" w:eastAsia="標楷體" w:hAnsi="標楷體" w:cs="標楷體"/>
                <w:sz w:val="24"/>
                <w:szCs w:val="24"/>
              </w:rPr>
              <w:t>5</w:t>
            </w:r>
            <w:r w:rsidRPr="00B600E5">
              <w:rPr>
                <w:rFonts w:ascii="標楷體" w:eastAsia="標楷體" w:hAnsi="標楷體" w:cs="標楷體"/>
                <w:sz w:val="24"/>
                <w:szCs w:val="24"/>
              </w:rPr>
              <w:t>:</w:t>
            </w:r>
            <w:r>
              <w:rPr>
                <w:rFonts w:ascii="標楷體" w:eastAsia="標楷體" w:hAnsi="標楷體" w:cs="標楷體"/>
                <w:sz w:val="24"/>
                <w:szCs w:val="24"/>
              </w:rPr>
              <w:t>3</w:t>
            </w:r>
            <w:r w:rsidRPr="00B600E5">
              <w:rPr>
                <w:rFonts w:ascii="標楷體" w:eastAsia="標楷體" w:hAnsi="標楷體" w:cs="標楷體"/>
                <w:sz w:val="24"/>
                <w:szCs w:val="24"/>
              </w:rPr>
              <w:t>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專書結合多元評量教學策略專題分享</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Pr>
                <w:rFonts w:ascii="標楷體" w:eastAsia="標楷體" w:hAnsi="標楷體" w:cs="標楷體" w:hint="eastAsia"/>
                <w:sz w:val="24"/>
                <w:szCs w:val="24"/>
                <w:lang w:eastAsia="zh-HK"/>
              </w:rPr>
              <w:t>林麗芬</w:t>
            </w:r>
          </w:p>
        </w:tc>
      </w:tr>
      <w:tr w:rsidR="00EB172B" w:rsidRPr="0049329A">
        <w:trPr>
          <w:trHeight w:val="567"/>
        </w:trPr>
        <w:tc>
          <w:tcPr>
            <w:tcW w:w="1184" w:type="pct"/>
            <w:vAlign w:val="center"/>
          </w:tcPr>
          <w:p w:rsidR="00EB172B" w:rsidRPr="00B600E5" w:rsidRDefault="00EB172B" w:rsidP="00300DAC">
            <w:pPr>
              <w:spacing w:after="0" w:line="240" w:lineRule="exact"/>
              <w:jc w:val="center"/>
              <w:rPr>
                <w:rFonts w:ascii="標楷體" w:eastAsia="標楷體" w:hAnsi="標楷體" w:cs="標楷體"/>
                <w:sz w:val="24"/>
                <w:szCs w:val="24"/>
              </w:rPr>
            </w:pPr>
            <w:r>
              <w:rPr>
                <w:rFonts w:ascii="標楷體" w:eastAsia="標楷體" w:hAnsi="標楷體" w:cs="標楷體"/>
                <w:sz w:val="24"/>
                <w:szCs w:val="24"/>
              </w:rPr>
              <w:t>15</w:t>
            </w:r>
            <w:r w:rsidRPr="00B600E5">
              <w:rPr>
                <w:rFonts w:ascii="標楷體" w:eastAsia="標楷體" w:hAnsi="標楷體" w:cs="標楷體"/>
                <w:sz w:val="24"/>
                <w:szCs w:val="24"/>
              </w:rPr>
              <w:t>:</w:t>
            </w:r>
            <w:r>
              <w:rPr>
                <w:rFonts w:ascii="標楷體" w:eastAsia="標楷體" w:hAnsi="標楷體" w:cs="標楷體"/>
                <w:sz w:val="24"/>
                <w:szCs w:val="24"/>
              </w:rPr>
              <w:t>30-16</w:t>
            </w:r>
            <w:r w:rsidRPr="00B600E5">
              <w:rPr>
                <w:rFonts w:ascii="標楷體" w:eastAsia="標楷體" w:hAnsi="標楷體" w:cs="標楷體"/>
                <w:sz w:val="24"/>
                <w:szCs w:val="24"/>
              </w:rPr>
              <w:t>:</w:t>
            </w:r>
            <w:r>
              <w:rPr>
                <w:rFonts w:ascii="標楷體" w:eastAsia="標楷體" w:hAnsi="標楷體" w:cs="標楷體"/>
                <w:sz w:val="24"/>
                <w:szCs w:val="24"/>
              </w:rPr>
              <w:t>3</w:t>
            </w:r>
            <w:r w:rsidRPr="00B600E5">
              <w:rPr>
                <w:rFonts w:ascii="標楷體" w:eastAsia="標楷體" w:hAnsi="標楷體" w:cs="標楷體"/>
                <w:sz w:val="24"/>
                <w:szCs w:val="24"/>
              </w:rPr>
              <w:t>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專書結合多元評量教學策略</w:t>
            </w:r>
            <w:r w:rsidRPr="00127A14">
              <w:rPr>
                <w:rFonts w:ascii="標楷體" w:eastAsia="標楷體" w:hAnsi="標楷體" w:cs="標楷體" w:hint="eastAsia"/>
                <w:color w:val="FF0000"/>
                <w:sz w:val="24"/>
                <w:szCs w:val="24"/>
                <w:lang w:eastAsia="zh-HK"/>
              </w:rPr>
              <w:t>實作</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Pr>
                <w:rFonts w:ascii="標楷體" w:eastAsia="標楷體" w:hAnsi="標楷體" w:cs="標楷體" w:hint="eastAsia"/>
                <w:sz w:val="24"/>
                <w:szCs w:val="24"/>
                <w:lang w:eastAsia="zh-HK"/>
              </w:rPr>
              <w:t>林麗芬</w:t>
            </w:r>
          </w:p>
        </w:tc>
      </w:tr>
      <w:tr w:rsidR="00EB172B" w:rsidRPr="0049329A">
        <w:trPr>
          <w:trHeight w:val="567"/>
        </w:trPr>
        <w:tc>
          <w:tcPr>
            <w:tcW w:w="1184" w:type="pct"/>
            <w:vAlign w:val="center"/>
          </w:tcPr>
          <w:p w:rsidR="00EB172B" w:rsidRPr="00B600E5" w:rsidRDefault="00EB172B" w:rsidP="00300DAC">
            <w:pPr>
              <w:spacing w:after="0" w:line="240" w:lineRule="exact"/>
              <w:jc w:val="center"/>
              <w:rPr>
                <w:rFonts w:ascii="標楷體" w:eastAsia="標楷體" w:hAnsi="標楷體" w:cs="標楷體"/>
                <w:sz w:val="24"/>
                <w:szCs w:val="24"/>
              </w:rPr>
            </w:pPr>
            <w:r>
              <w:rPr>
                <w:rFonts w:ascii="標楷體" w:eastAsia="標楷體" w:hAnsi="標楷體" w:cs="標楷體"/>
                <w:sz w:val="24"/>
                <w:szCs w:val="24"/>
              </w:rPr>
              <w:t>16</w:t>
            </w:r>
            <w:r w:rsidRPr="00B600E5">
              <w:rPr>
                <w:rFonts w:ascii="標楷體" w:eastAsia="標楷體" w:hAnsi="標楷體" w:cs="標楷體"/>
                <w:sz w:val="24"/>
                <w:szCs w:val="24"/>
              </w:rPr>
              <w:t>:</w:t>
            </w:r>
            <w:r>
              <w:rPr>
                <w:rFonts w:ascii="標楷體" w:eastAsia="標楷體" w:hAnsi="標楷體" w:cs="標楷體"/>
                <w:sz w:val="24"/>
                <w:szCs w:val="24"/>
              </w:rPr>
              <w:t>3</w:t>
            </w:r>
            <w:r w:rsidRPr="00B600E5">
              <w:rPr>
                <w:rFonts w:ascii="標楷體" w:eastAsia="標楷體" w:hAnsi="標楷體" w:cs="標楷體"/>
                <w:sz w:val="24"/>
                <w:szCs w:val="24"/>
              </w:rPr>
              <w:t>0-1</w:t>
            </w:r>
            <w:r>
              <w:rPr>
                <w:rFonts w:ascii="標楷體" w:eastAsia="標楷體" w:hAnsi="標楷體" w:cs="標楷體"/>
                <w:sz w:val="24"/>
                <w:szCs w:val="24"/>
              </w:rPr>
              <w:t>6</w:t>
            </w:r>
            <w:r w:rsidRPr="00B600E5">
              <w:rPr>
                <w:rFonts w:ascii="標楷體" w:eastAsia="標楷體" w:hAnsi="標楷體" w:cs="標楷體"/>
                <w:sz w:val="24"/>
                <w:szCs w:val="24"/>
              </w:rPr>
              <w:t>:</w:t>
            </w:r>
            <w:r>
              <w:rPr>
                <w:rFonts w:ascii="標楷體" w:eastAsia="標楷體" w:hAnsi="標楷體" w:cs="標楷體"/>
                <w:sz w:val="24"/>
                <w:szCs w:val="24"/>
              </w:rPr>
              <w:t>4</w:t>
            </w:r>
            <w:r w:rsidRPr="00B600E5">
              <w:rPr>
                <w:rFonts w:ascii="標楷體" w:eastAsia="標楷體" w:hAnsi="標楷體" w:cs="標楷體"/>
                <w:sz w:val="24"/>
                <w:szCs w:val="24"/>
              </w:rPr>
              <w:t>0</w:t>
            </w:r>
          </w:p>
        </w:tc>
        <w:tc>
          <w:tcPr>
            <w:tcW w:w="1473" w:type="pct"/>
            <w:vAlign w:val="center"/>
          </w:tcPr>
          <w:p w:rsidR="00EB172B" w:rsidRPr="00127A14" w:rsidRDefault="00EB172B" w:rsidP="00F84332">
            <w:pPr>
              <w:spacing w:after="0" w:line="240" w:lineRule="exact"/>
              <w:jc w:val="center"/>
              <w:rPr>
                <w:rFonts w:ascii="標楷體" w:eastAsia="標楷體" w:hAnsi="標楷體" w:cs="Times New Roman"/>
                <w:color w:val="FF0000"/>
                <w:sz w:val="24"/>
                <w:szCs w:val="24"/>
              </w:rPr>
            </w:pPr>
            <w:r w:rsidRPr="00127A14">
              <w:rPr>
                <w:rFonts w:ascii="標楷體" w:eastAsia="標楷體" w:hAnsi="標楷體" w:cs="標楷體" w:hint="eastAsia"/>
                <w:color w:val="FF0000"/>
                <w:sz w:val="24"/>
                <w:szCs w:val="24"/>
              </w:rPr>
              <w:t>綜合座談</w:t>
            </w:r>
          </w:p>
        </w:tc>
        <w:tc>
          <w:tcPr>
            <w:tcW w:w="2343" w:type="pct"/>
            <w:vAlign w:val="center"/>
          </w:tcPr>
          <w:p w:rsidR="00EB172B" w:rsidRPr="00B600E5" w:rsidRDefault="00EB172B" w:rsidP="00F84332">
            <w:pPr>
              <w:adjustRightInd w:val="0"/>
              <w:spacing w:after="0" w:line="240" w:lineRule="exact"/>
              <w:jc w:val="center"/>
              <w:rPr>
                <w:rFonts w:ascii="標楷體" w:eastAsia="標楷體" w:hAnsi="標楷體" w:cs="Times New Roman"/>
                <w:sz w:val="24"/>
                <w:szCs w:val="24"/>
              </w:rPr>
            </w:pPr>
            <w:r w:rsidRPr="00B600E5">
              <w:rPr>
                <w:rFonts w:ascii="標楷體" w:eastAsia="標楷體" w:hAnsi="標楷體" w:cs="標楷體" w:hint="eastAsia"/>
                <w:sz w:val="24"/>
                <w:szCs w:val="24"/>
              </w:rPr>
              <w:t>社會領域輔導小組團隊</w:t>
            </w:r>
          </w:p>
        </w:tc>
      </w:tr>
    </w:tbl>
    <w:p w:rsidR="00EB172B" w:rsidRDefault="00EB172B" w:rsidP="00E277E4">
      <w:pPr>
        <w:snapToGrid w:val="0"/>
        <w:spacing w:line="320" w:lineRule="exact"/>
        <w:rPr>
          <w:rFonts w:ascii="標楷體" w:eastAsia="標楷體" w:hAnsi="標楷體" w:cs="Times New Roman"/>
          <w:color w:val="000000"/>
          <w:sz w:val="24"/>
          <w:szCs w:val="24"/>
        </w:rPr>
      </w:pPr>
    </w:p>
    <w:p w:rsidR="00EB172B" w:rsidRDefault="00EB172B" w:rsidP="00320C68">
      <w:pPr>
        <w:spacing w:after="0" w:line="240" w:lineRule="auto"/>
        <w:rPr>
          <w:rFonts w:cs="Times New Roman"/>
        </w:rPr>
      </w:pPr>
    </w:p>
    <w:p w:rsidR="00EB172B" w:rsidRPr="00E277E4" w:rsidRDefault="00EB172B">
      <w:pPr>
        <w:rPr>
          <w:rFonts w:cs="Times New Roman"/>
        </w:rPr>
      </w:pPr>
    </w:p>
    <w:sectPr w:rsidR="00EB172B" w:rsidRPr="00E277E4" w:rsidSect="001D7E7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標楷體..　."/>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B8D"/>
    <w:multiLevelType w:val="hybridMultilevel"/>
    <w:tmpl w:val="8D72F7E6"/>
    <w:lvl w:ilvl="0" w:tplc="3A5EAA5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7E4"/>
    <w:rsid w:val="000D578B"/>
    <w:rsid w:val="00127A14"/>
    <w:rsid w:val="001C3E10"/>
    <w:rsid w:val="001D7E7C"/>
    <w:rsid w:val="00300DAC"/>
    <w:rsid w:val="00320C68"/>
    <w:rsid w:val="00362299"/>
    <w:rsid w:val="0049329A"/>
    <w:rsid w:val="00546657"/>
    <w:rsid w:val="005C6F44"/>
    <w:rsid w:val="005D1253"/>
    <w:rsid w:val="00822A50"/>
    <w:rsid w:val="008D4DDA"/>
    <w:rsid w:val="00B600E5"/>
    <w:rsid w:val="00BE2ADC"/>
    <w:rsid w:val="00CA2C25"/>
    <w:rsid w:val="00D54463"/>
    <w:rsid w:val="00E277E4"/>
    <w:rsid w:val="00EB172B"/>
    <w:rsid w:val="00F843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7E4"/>
    <w:pPr>
      <w:spacing w:after="120" w:line="264" w:lineRule="auto"/>
    </w:pPr>
    <w:rPr>
      <w:rFonts w:cs="Calibri"/>
      <w:kern w:val="0"/>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277E4"/>
    <w:pPr>
      <w:ind w:leftChars="200" w:left="480"/>
    </w:pPr>
  </w:style>
  <w:style w:type="character" w:customStyle="1" w:styleId="ListParagraphChar">
    <w:name w:val="List Paragraph Char"/>
    <w:basedOn w:val="DefaultParagraphFont"/>
    <w:link w:val="ListParagraph"/>
    <w:uiPriority w:val="99"/>
    <w:locked/>
    <w:rsid w:val="00E277E4"/>
    <w:rPr>
      <w:rFonts w:ascii="Calibri" w:eastAsia="新細明體" w:hAnsi="Calibri" w:cs="Calibri"/>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161</Words>
  <Characters>924</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2017-07-30T08:19:00Z</dcterms:created>
  <dcterms:modified xsi:type="dcterms:W3CDTF">2017-07-31T03:16:00Z</dcterms:modified>
</cp:coreProperties>
</file>