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92" w:rsidRPr="000E36BD" w:rsidRDefault="00152992" w:rsidP="00152992">
      <w:pPr>
        <w:rPr>
          <w:rFonts w:ascii="標楷體" w:eastAsia="標楷體" w:hAnsi="標楷體" w:cs="Times New Roman"/>
          <w:b/>
          <w:bCs/>
          <w:sz w:val="24"/>
          <w:szCs w:val="24"/>
        </w:rPr>
      </w:pPr>
    </w:p>
    <w:p w:rsidR="00152992" w:rsidRPr="000E36BD" w:rsidRDefault="00152992" w:rsidP="00152992">
      <w:pPr>
        <w:tabs>
          <w:tab w:val="left" w:pos="3686"/>
        </w:tabs>
        <w:adjustRightInd w:val="0"/>
        <w:snapToGrid w:val="0"/>
        <w:spacing w:line="240" w:lineRule="atLeast"/>
        <w:jc w:val="center"/>
        <w:outlineLvl w:val="0"/>
        <w:rPr>
          <w:rFonts w:ascii="標楷體" w:eastAsia="標楷體" w:hAnsi="標楷體" w:cs="Times New Roman"/>
          <w:b/>
          <w:bCs/>
          <w:sz w:val="24"/>
          <w:szCs w:val="24"/>
        </w:rPr>
      </w:pPr>
      <w:r w:rsidRPr="000E36BD">
        <w:rPr>
          <w:rFonts w:ascii="標楷體" w:eastAsia="標楷體" w:hAnsi="標楷體" w:cs="標楷體" w:hint="eastAsia"/>
          <w:b/>
          <w:bCs/>
          <w:sz w:val="24"/>
          <w:szCs w:val="24"/>
        </w:rPr>
        <w:t>澎湖縣</w:t>
      </w:r>
      <w:proofErr w:type="gramStart"/>
      <w:r w:rsidRPr="000E36BD">
        <w:rPr>
          <w:rFonts w:ascii="標楷體" w:eastAsia="標楷體" w:hAnsi="標楷體" w:cs="標楷體"/>
          <w:b/>
          <w:bCs/>
          <w:sz w:val="24"/>
          <w:szCs w:val="24"/>
        </w:rPr>
        <w:t>106</w:t>
      </w:r>
      <w:proofErr w:type="gramEnd"/>
      <w:r w:rsidRPr="000E36BD">
        <w:rPr>
          <w:rFonts w:ascii="標楷體" w:eastAsia="標楷體" w:hAnsi="標楷體" w:cs="標楷體" w:hint="eastAsia"/>
          <w:b/>
          <w:bCs/>
          <w:sz w:val="24"/>
          <w:szCs w:val="24"/>
        </w:rPr>
        <w:t>年度國民教育輔導團國小自然與生活科技領域輔導小組</w:t>
      </w:r>
    </w:p>
    <w:p w:rsidR="00152992" w:rsidRPr="000E36BD" w:rsidRDefault="00152992" w:rsidP="00152992">
      <w:pPr>
        <w:snapToGrid w:val="0"/>
        <w:ind w:firstLineChars="50" w:firstLine="120"/>
        <w:jc w:val="center"/>
        <w:rPr>
          <w:rFonts w:ascii="標楷體" w:eastAsia="標楷體" w:hAnsi="標楷體" w:cs="標楷體"/>
          <w:b/>
          <w:bCs/>
          <w:sz w:val="24"/>
          <w:szCs w:val="24"/>
        </w:rPr>
      </w:pPr>
      <w:r w:rsidRPr="000E36BD">
        <w:rPr>
          <w:rFonts w:ascii="標楷體" w:eastAsia="標楷體" w:hAnsi="標楷體" w:cs="標楷體" w:hint="eastAsia"/>
          <w:b/>
          <w:bCs/>
          <w:sz w:val="24"/>
          <w:szCs w:val="24"/>
        </w:rPr>
        <w:t>十二年國民基本教育精進教學子計畫</w:t>
      </w:r>
    </w:p>
    <w:p w:rsidR="00152992" w:rsidRPr="000E36BD" w:rsidRDefault="00152992" w:rsidP="00152992">
      <w:pPr>
        <w:adjustRightInd w:val="0"/>
        <w:snapToGrid w:val="0"/>
        <w:spacing w:line="240" w:lineRule="atLeast"/>
        <w:jc w:val="center"/>
        <w:rPr>
          <w:rFonts w:ascii="標楷體" w:eastAsia="標楷體" w:hAnsi="標楷體" w:cs="Times New Roman"/>
          <w:b/>
          <w:bCs/>
          <w:sz w:val="24"/>
          <w:szCs w:val="24"/>
        </w:rPr>
      </w:pPr>
      <w:proofErr w:type="gramStart"/>
      <w:r w:rsidRPr="000E36BD">
        <w:rPr>
          <w:rFonts w:ascii="標楷體" w:eastAsia="標楷體" w:hAnsi="標楷體" w:cs="標楷體" w:hint="eastAsia"/>
          <w:b/>
          <w:bCs/>
          <w:sz w:val="24"/>
          <w:szCs w:val="24"/>
        </w:rPr>
        <w:t>空拍機在</w:t>
      </w:r>
      <w:proofErr w:type="gramEnd"/>
      <w:r w:rsidRPr="000E36BD">
        <w:rPr>
          <w:rFonts w:ascii="標楷體" w:eastAsia="標楷體" w:hAnsi="標楷體" w:cs="標楷體" w:hint="eastAsia"/>
          <w:b/>
          <w:bCs/>
          <w:sz w:val="24"/>
          <w:szCs w:val="24"/>
        </w:rPr>
        <w:t>地質地景教學之應用研習實施計畫</w:t>
      </w:r>
      <w:r>
        <w:rPr>
          <w:rFonts w:ascii="Times New Roman" w:eastAsia="標楷體" w:hAnsi="Times New Roman" w:hint="eastAsia"/>
          <w:szCs w:val="24"/>
        </w:rPr>
        <w:t>（</w:t>
      </w:r>
      <w:r>
        <w:rPr>
          <w:rFonts w:ascii="Times New Roman" w:eastAsia="標楷體" w:hAnsi="Times New Roman"/>
          <w:szCs w:val="24"/>
        </w:rPr>
        <w:t>Sci_PCK7,11</w:t>
      </w:r>
      <w:r>
        <w:rPr>
          <w:rFonts w:ascii="Times New Roman" w:eastAsia="標楷體" w:hAnsi="Times New Roman" w:hint="eastAsia"/>
          <w:szCs w:val="24"/>
        </w:rPr>
        <w:t>）</w:t>
      </w:r>
    </w:p>
    <w:p w:rsidR="00152992" w:rsidRPr="000E36BD" w:rsidRDefault="00152992" w:rsidP="00152992">
      <w:pPr>
        <w:spacing w:line="360" w:lineRule="exact"/>
        <w:rPr>
          <w:rFonts w:ascii="標楷體" w:eastAsia="標楷體" w:hAnsi="標楷體" w:cs="Times New Roman"/>
          <w:sz w:val="24"/>
          <w:szCs w:val="24"/>
        </w:rPr>
      </w:pPr>
      <w:r w:rsidRPr="000E36BD">
        <w:rPr>
          <w:rFonts w:ascii="標楷體" w:eastAsia="標楷體" w:hAnsi="標楷體" w:cs="標楷體" w:hint="eastAsia"/>
          <w:sz w:val="24"/>
          <w:szCs w:val="24"/>
        </w:rPr>
        <w:t>一、依據：</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（一）教育部國民及學前教育署補助辦理十二年國民基本教育精進國民中學及國民小學教學品質要點。</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（二）澎湖縣</w:t>
      </w:r>
      <w:proofErr w:type="gramStart"/>
      <w:r w:rsidRPr="00397099">
        <w:rPr>
          <w:rFonts w:ascii="Times New Roman" w:eastAsia="標楷體" w:hAnsi="Times New Roman" w:cs="標楷體"/>
          <w:sz w:val="24"/>
          <w:szCs w:val="24"/>
        </w:rPr>
        <w:t>106</w:t>
      </w:r>
      <w:proofErr w:type="gramEnd"/>
      <w:r w:rsidRPr="000E36BD">
        <w:rPr>
          <w:rFonts w:ascii="Times New Roman" w:eastAsia="標楷體" w:hAnsi="Times New Roman" w:cs="標楷體" w:hint="eastAsia"/>
          <w:sz w:val="24"/>
          <w:szCs w:val="24"/>
        </w:rPr>
        <w:t>年度十二年國民基本教育精進國民中學及國民小學教學品質計畫。</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（三）澎湖縣</w:t>
      </w:r>
      <w:proofErr w:type="gramStart"/>
      <w:r w:rsidRPr="00397099">
        <w:rPr>
          <w:rFonts w:ascii="Times New Roman" w:eastAsia="標楷體" w:hAnsi="Times New Roman" w:cs="標楷體"/>
          <w:sz w:val="24"/>
          <w:szCs w:val="24"/>
        </w:rPr>
        <w:t>106</w:t>
      </w:r>
      <w:proofErr w:type="gramEnd"/>
      <w:r w:rsidRPr="000E36BD">
        <w:rPr>
          <w:rFonts w:ascii="Times New Roman" w:eastAsia="標楷體" w:hAnsi="Times New Roman" w:cs="標楷體" w:hint="eastAsia"/>
          <w:sz w:val="24"/>
          <w:szCs w:val="24"/>
        </w:rPr>
        <w:t>年度國民教育輔導團運作與輔導工作計畫。</w:t>
      </w:r>
    </w:p>
    <w:p w:rsidR="00152992" w:rsidRPr="000E36BD" w:rsidRDefault="00152992" w:rsidP="00152992">
      <w:pPr>
        <w:pStyle w:val="a3"/>
        <w:numPr>
          <w:ilvl w:val="0"/>
          <w:numId w:val="1"/>
        </w:numPr>
        <w:spacing w:line="360" w:lineRule="exact"/>
        <w:ind w:leftChars="0"/>
        <w:rPr>
          <w:rFonts w:ascii="標楷體" w:eastAsia="標楷體" w:hAnsi="標楷體" w:cs="Times New Roman"/>
          <w:sz w:val="24"/>
          <w:szCs w:val="24"/>
        </w:rPr>
      </w:pPr>
      <w:r w:rsidRPr="000E36BD">
        <w:rPr>
          <w:rFonts w:ascii="標楷體" w:eastAsia="標楷體" w:hAnsi="標楷體" w:cs="標楷體" w:hint="eastAsia"/>
          <w:sz w:val="24"/>
          <w:szCs w:val="24"/>
        </w:rPr>
        <w:t>目的：</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（一）直接示範與對話，解決教學現場問題，促進教師課堂實踐。</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（二）認識澎湖玄武岩與特殊地景地形，豐富教師教學資料庫。</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（三）運用</w:t>
      </w:r>
      <w:proofErr w:type="gramStart"/>
      <w:r w:rsidRPr="000E36BD">
        <w:rPr>
          <w:rFonts w:ascii="Times New Roman" w:eastAsia="標楷體" w:hAnsi="Times New Roman" w:cs="標楷體" w:hint="eastAsia"/>
          <w:sz w:val="24"/>
          <w:szCs w:val="24"/>
        </w:rPr>
        <w:t>空拍機進行</w:t>
      </w:r>
      <w:proofErr w:type="gramEnd"/>
      <w:r w:rsidRPr="000E36BD">
        <w:rPr>
          <w:rFonts w:ascii="Times New Roman" w:eastAsia="標楷體" w:hAnsi="Times New Roman" w:cs="標楷體" w:hint="eastAsia"/>
          <w:sz w:val="24"/>
          <w:szCs w:val="24"/>
        </w:rPr>
        <w:t>攝影，從不同角度看地質，並提高踏查安全性。</w:t>
      </w:r>
    </w:p>
    <w:p w:rsidR="00152992" w:rsidRPr="000E36BD" w:rsidRDefault="00152992" w:rsidP="00152992">
      <w:pPr>
        <w:spacing w:line="360" w:lineRule="exact"/>
        <w:rPr>
          <w:rFonts w:ascii="標楷體" w:eastAsia="標楷體" w:hAnsi="標楷體" w:cs="Times New Roman"/>
          <w:sz w:val="24"/>
          <w:szCs w:val="24"/>
        </w:rPr>
      </w:pPr>
      <w:r w:rsidRPr="000E36BD">
        <w:rPr>
          <w:rFonts w:ascii="標楷體" w:eastAsia="標楷體" w:hAnsi="標楷體" w:cs="標楷體" w:hint="eastAsia"/>
          <w:sz w:val="24"/>
          <w:szCs w:val="24"/>
        </w:rPr>
        <w:t>三、辦理單位：</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（一）指導單位：教育部</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（二）主辦單位：澎湖縣政府</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（三）承辦單位：國小自然與生活科技學習領域輔導小組</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（四）協辦單位：七美國小</w:t>
      </w:r>
    </w:p>
    <w:p w:rsidR="00152992" w:rsidRPr="000E36BD" w:rsidRDefault="00152992" w:rsidP="00152992">
      <w:pPr>
        <w:spacing w:line="360" w:lineRule="exact"/>
        <w:rPr>
          <w:rFonts w:ascii="標楷體" w:eastAsia="標楷體" w:hAnsi="標楷體" w:cs="標楷體"/>
          <w:sz w:val="24"/>
          <w:szCs w:val="24"/>
        </w:rPr>
      </w:pPr>
      <w:r w:rsidRPr="000E36BD">
        <w:rPr>
          <w:rFonts w:ascii="標楷體" w:eastAsia="標楷體" w:hAnsi="標楷體" w:cs="標楷體" w:hint="eastAsia"/>
          <w:sz w:val="24"/>
          <w:szCs w:val="24"/>
        </w:rPr>
        <w:t>四、辦理時間：</w:t>
      </w:r>
      <w:r w:rsidRPr="000E36BD">
        <w:rPr>
          <w:rFonts w:ascii="標楷體" w:eastAsia="標楷體" w:hAnsi="標楷體" w:cs="標楷體"/>
          <w:sz w:val="24"/>
          <w:szCs w:val="24"/>
        </w:rPr>
        <w:t>106</w:t>
      </w:r>
      <w:r w:rsidRPr="000E36BD">
        <w:rPr>
          <w:rFonts w:ascii="標楷體" w:eastAsia="標楷體" w:hAnsi="標楷體" w:cs="標楷體" w:hint="eastAsia"/>
          <w:sz w:val="24"/>
          <w:szCs w:val="24"/>
        </w:rPr>
        <w:t>年</w:t>
      </w:r>
      <w:r w:rsidRPr="000E36BD">
        <w:rPr>
          <w:rFonts w:ascii="標楷體" w:eastAsia="標楷體" w:hAnsi="標楷體" w:cs="標楷體"/>
          <w:sz w:val="24"/>
          <w:szCs w:val="24"/>
        </w:rPr>
        <w:t>4</w:t>
      </w:r>
      <w:r w:rsidRPr="000E36BD">
        <w:rPr>
          <w:rFonts w:ascii="標楷體" w:eastAsia="標楷體" w:hAnsi="標楷體" w:cs="標楷體" w:hint="eastAsia"/>
          <w:sz w:val="24"/>
          <w:szCs w:val="24"/>
        </w:rPr>
        <w:t>月</w:t>
      </w:r>
      <w:r>
        <w:rPr>
          <w:rFonts w:ascii="標楷體" w:eastAsia="標楷體" w:hAnsi="標楷體" w:cs="標楷體"/>
          <w:sz w:val="24"/>
          <w:szCs w:val="24"/>
        </w:rPr>
        <w:t>21</w:t>
      </w:r>
      <w:r w:rsidRPr="000E36BD">
        <w:rPr>
          <w:rFonts w:ascii="標楷體" w:eastAsia="標楷體" w:hAnsi="標楷體" w:cs="標楷體" w:hint="eastAsia"/>
          <w:sz w:val="24"/>
          <w:szCs w:val="24"/>
        </w:rPr>
        <w:t>日</w:t>
      </w:r>
      <w:r w:rsidRPr="000E36BD">
        <w:rPr>
          <w:rFonts w:ascii="標楷體" w:eastAsia="標楷體" w:hAnsi="標楷體" w:cs="標楷體"/>
          <w:sz w:val="24"/>
          <w:szCs w:val="24"/>
        </w:rPr>
        <w:t>(</w:t>
      </w:r>
      <w:r w:rsidRPr="000E36BD">
        <w:rPr>
          <w:rFonts w:ascii="標楷體" w:eastAsia="標楷體" w:hAnsi="標楷體" w:cs="標楷體" w:hint="eastAsia"/>
          <w:sz w:val="24"/>
          <w:szCs w:val="24"/>
        </w:rPr>
        <w:t>五</w:t>
      </w:r>
      <w:r w:rsidRPr="000E36BD">
        <w:rPr>
          <w:rFonts w:ascii="標楷體" w:eastAsia="標楷體" w:hAnsi="標楷體" w:cs="標楷體"/>
          <w:sz w:val="24"/>
          <w:szCs w:val="24"/>
        </w:rPr>
        <w:t>)</w:t>
      </w:r>
    </w:p>
    <w:p w:rsidR="00152992" w:rsidRPr="000E36BD" w:rsidRDefault="00152992" w:rsidP="00152992">
      <w:pPr>
        <w:spacing w:line="360" w:lineRule="exact"/>
        <w:rPr>
          <w:rFonts w:ascii="標楷體" w:eastAsia="標楷體" w:hAnsi="標楷體" w:cs="Times New Roman"/>
          <w:sz w:val="24"/>
          <w:szCs w:val="24"/>
        </w:rPr>
      </w:pPr>
      <w:r w:rsidRPr="000E36BD">
        <w:rPr>
          <w:rFonts w:ascii="標楷體" w:eastAsia="標楷體" w:hAnsi="標楷體" w:cs="標楷體" w:hint="eastAsia"/>
          <w:sz w:val="24"/>
          <w:szCs w:val="24"/>
        </w:rPr>
        <w:t>五、參加對象與人數：國中小教師與輔導團團員</w:t>
      </w:r>
      <w:bookmarkStart w:id="0" w:name="_GoBack"/>
      <w:bookmarkEnd w:id="0"/>
    </w:p>
    <w:p w:rsidR="00152992" w:rsidRPr="000E36BD" w:rsidRDefault="00152992" w:rsidP="00152992">
      <w:pPr>
        <w:spacing w:line="360" w:lineRule="exact"/>
        <w:rPr>
          <w:rFonts w:ascii="標楷體" w:eastAsia="標楷體" w:hAnsi="標楷體" w:cs="Times New Roman"/>
          <w:sz w:val="24"/>
          <w:szCs w:val="24"/>
        </w:rPr>
      </w:pPr>
      <w:r w:rsidRPr="000E36BD">
        <w:rPr>
          <w:rFonts w:ascii="標楷體" w:eastAsia="標楷體" w:hAnsi="標楷體" w:cs="標楷體" w:hint="eastAsia"/>
          <w:sz w:val="24"/>
          <w:szCs w:val="24"/>
        </w:rPr>
        <w:t>六、辦理地點：澎湖縣</w:t>
      </w:r>
      <w:r w:rsidR="006035AC">
        <w:rPr>
          <w:rFonts w:ascii="標楷體" w:eastAsia="標楷體" w:hAnsi="標楷體" w:cs="標楷體" w:hint="eastAsia"/>
          <w:sz w:val="24"/>
          <w:szCs w:val="24"/>
        </w:rPr>
        <w:t>中正國小多功能教室</w:t>
      </w:r>
    </w:p>
    <w:p w:rsidR="00152992" w:rsidRPr="000E36BD" w:rsidRDefault="00152992" w:rsidP="00152992">
      <w:pPr>
        <w:spacing w:line="360" w:lineRule="exact"/>
        <w:jc w:val="both"/>
        <w:rPr>
          <w:rFonts w:ascii="標楷體" w:eastAsia="標楷體" w:hAnsi="標楷體" w:cs="標楷體"/>
          <w:sz w:val="24"/>
          <w:szCs w:val="24"/>
        </w:rPr>
      </w:pPr>
      <w:r w:rsidRPr="000E36BD">
        <w:rPr>
          <w:rFonts w:ascii="標楷體" w:eastAsia="標楷體" w:hAnsi="標楷體" w:cs="標楷體" w:hint="eastAsia"/>
          <w:sz w:val="24"/>
          <w:szCs w:val="24"/>
        </w:rPr>
        <w:t>七、課程內容：如附件</w:t>
      </w:r>
    </w:p>
    <w:p w:rsidR="00152992" w:rsidRPr="000E36BD" w:rsidRDefault="00152992" w:rsidP="0015299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八</w:t>
      </w:r>
      <w:r w:rsidRPr="000E36BD">
        <w:rPr>
          <w:rFonts w:ascii="標楷體" w:eastAsia="標楷體" w:hAnsi="標楷體" w:cs="標楷體" w:hint="eastAsia"/>
          <w:sz w:val="24"/>
          <w:szCs w:val="24"/>
        </w:rPr>
        <w:t>、獎勵</w:t>
      </w:r>
    </w:p>
    <w:p w:rsidR="00152992" w:rsidRPr="000E36BD" w:rsidRDefault="00152992" w:rsidP="00152992">
      <w:pPr>
        <w:spacing w:line="360" w:lineRule="exact"/>
        <w:ind w:left="480" w:hangingChars="200" w:hanging="480"/>
        <w:rPr>
          <w:rFonts w:ascii="標楷體" w:eastAsia="標楷體" w:hAnsi="標楷體" w:cs="Times New Roman"/>
          <w:sz w:val="24"/>
          <w:szCs w:val="24"/>
        </w:rPr>
      </w:pPr>
      <w:r w:rsidRPr="000E36BD">
        <w:rPr>
          <w:rFonts w:ascii="標楷體" w:eastAsia="標楷體" w:hAnsi="標楷體" w:cs="標楷體"/>
          <w:sz w:val="24"/>
          <w:szCs w:val="24"/>
        </w:rPr>
        <w:t xml:space="preserve"> </w:t>
      </w:r>
      <w:r w:rsidRPr="000E36BD">
        <w:rPr>
          <w:rFonts w:ascii="Times New Roman" w:eastAsia="標楷體" w:hAnsi="Times New Roman" w:cs="Times New Roman"/>
          <w:sz w:val="24"/>
          <w:szCs w:val="24"/>
        </w:rPr>
        <w:t xml:space="preserve">   </w:t>
      </w:r>
      <w:r w:rsidRPr="000E36BD">
        <w:rPr>
          <w:rFonts w:ascii="Times New Roman" w:eastAsia="標楷體" w:hAnsi="Times New Roman" w:cs="標楷體" w:hint="eastAsia"/>
          <w:sz w:val="24"/>
          <w:szCs w:val="24"/>
        </w:rPr>
        <w:t>承辦人員表現優良者，依「澎湖縣國民中小學教職員一般獎勵實施要點」規定核予獎勵。</w:t>
      </w:r>
    </w:p>
    <w:p w:rsidR="00152992" w:rsidRPr="000E36BD" w:rsidRDefault="00152992" w:rsidP="00152992">
      <w:pPr>
        <w:spacing w:line="360" w:lineRule="exact"/>
        <w:ind w:left="540" w:hangingChars="225" w:hanging="540"/>
        <w:rPr>
          <w:rFonts w:ascii="標楷體" w:eastAsia="標楷體" w:hAnsi="標楷體" w:cs="Times New Roman"/>
          <w:sz w:val="24"/>
          <w:szCs w:val="24"/>
        </w:rPr>
      </w:pPr>
      <w:r>
        <w:rPr>
          <w:rFonts w:ascii="標楷體" w:eastAsia="標楷體" w:hAnsi="標楷體" w:cs="標楷體" w:hint="eastAsia"/>
          <w:sz w:val="24"/>
          <w:szCs w:val="24"/>
        </w:rPr>
        <w:t>九</w:t>
      </w:r>
      <w:r w:rsidRPr="000E36BD">
        <w:rPr>
          <w:rFonts w:ascii="標楷體" w:eastAsia="標楷體" w:hAnsi="標楷體" w:cs="標楷體" w:hint="eastAsia"/>
          <w:sz w:val="24"/>
          <w:szCs w:val="24"/>
        </w:rPr>
        <w:t>、預期效益</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（一）豐富教師地質地景教學資料庫，並使教學知能獲得提升。</w:t>
      </w:r>
    </w:p>
    <w:p w:rsidR="00152992" w:rsidRPr="00397099" w:rsidRDefault="00152992" w:rsidP="00152992">
      <w:pPr>
        <w:spacing w:line="360" w:lineRule="exact"/>
        <w:ind w:leftChars="50" w:left="825" w:hangingChars="300" w:hanging="720"/>
        <w:rPr>
          <w:rFonts w:ascii="Times New Roman" w:eastAsia="標楷體" w:hAnsi="Times New Roman" w:cs="標楷體"/>
          <w:sz w:val="24"/>
          <w:szCs w:val="24"/>
        </w:rPr>
      </w:pPr>
      <w:r w:rsidRPr="000E36BD">
        <w:rPr>
          <w:rFonts w:ascii="Times New Roman" w:eastAsia="標楷體" w:hAnsi="Times New Roman" w:cs="標楷體" w:hint="eastAsia"/>
          <w:sz w:val="24"/>
          <w:szCs w:val="24"/>
        </w:rPr>
        <w:t>（二）能活用</w:t>
      </w:r>
      <w:proofErr w:type="gramStart"/>
      <w:r w:rsidRPr="000E36BD">
        <w:rPr>
          <w:rFonts w:ascii="Times New Roman" w:eastAsia="標楷體" w:hAnsi="Times New Roman" w:cs="標楷體" w:hint="eastAsia"/>
          <w:sz w:val="24"/>
          <w:szCs w:val="24"/>
        </w:rPr>
        <w:t>空拍機進行</w:t>
      </w:r>
      <w:proofErr w:type="gramEnd"/>
      <w:r w:rsidRPr="000E36BD">
        <w:rPr>
          <w:rFonts w:ascii="Times New Roman" w:eastAsia="標楷體" w:hAnsi="Times New Roman" w:cs="標楷體" w:hint="eastAsia"/>
          <w:sz w:val="24"/>
          <w:szCs w:val="24"/>
        </w:rPr>
        <w:t>地質攝影，讓學生更進一步認識澎湖瑰麗地質地形。</w:t>
      </w:r>
    </w:p>
    <w:p w:rsidR="00152992" w:rsidRPr="000E36BD" w:rsidRDefault="00152992" w:rsidP="00152992">
      <w:pPr>
        <w:spacing w:line="360" w:lineRule="exact"/>
        <w:rPr>
          <w:rFonts w:ascii="標楷體" w:eastAsia="標楷體" w:hAnsi="標楷體" w:cs="Times New Roman"/>
          <w:sz w:val="24"/>
          <w:szCs w:val="24"/>
        </w:rPr>
      </w:pPr>
      <w:r w:rsidRPr="000E36BD">
        <w:rPr>
          <w:rFonts w:ascii="標楷體" w:eastAsia="標楷體" w:hAnsi="標楷體" w:cs="標楷體" w:hint="eastAsia"/>
          <w:sz w:val="24"/>
          <w:szCs w:val="24"/>
        </w:rPr>
        <w:t>十、本計畫陳請縣府核</w:t>
      </w:r>
      <w:proofErr w:type="gramStart"/>
      <w:r w:rsidRPr="000E36BD">
        <w:rPr>
          <w:rFonts w:ascii="標楷體" w:eastAsia="標楷體" w:hAnsi="標楷體" w:cs="標楷體" w:hint="eastAsia"/>
          <w:sz w:val="24"/>
          <w:szCs w:val="24"/>
        </w:rPr>
        <w:t>可暨陳</w:t>
      </w:r>
      <w:proofErr w:type="gramEnd"/>
      <w:r w:rsidRPr="000E36BD">
        <w:rPr>
          <w:rFonts w:ascii="標楷體" w:eastAsia="標楷體" w:hAnsi="標楷體" w:cs="標楷體" w:hint="eastAsia"/>
          <w:sz w:val="24"/>
          <w:szCs w:val="24"/>
        </w:rPr>
        <w:t>報教育部核准後實施，修正時亦同。</w:t>
      </w:r>
    </w:p>
    <w:p w:rsidR="00152992" w:rsidRDefault="00152992" w:rsidP="00152992">
      <w:pPr>
        <w:rPr>
          <w:rFonts w:ascii="標楷體" w:eastAsia="標楷體" w:hAnsi="標楷體" w:cs="標楷體"/>
          <w:sz w:val="24"/>
          <w:szCs w:val="24"/>
        </w:rPr>
      </w:pPr>
      <w:r w:rsidRPr="000E36BD">
        <w:rPr>
          <w:rFonts w:ascii="標楷體" w:eastAsia="標楷體" w:hAnsi="標楷體" w:cs="Times New Roman"/>
          <w:sz w:val="24"/>
          <w:szCs w:val="24"/>
        </w:rPr>
        <w:br w:type="page"/>
      </w:r>
      <w:r w:rsidRPr="00E82370">
        <w:rPr>
          <w:rFonts w:ascii="標楷體" w:eastAsia="標楷體" w:hAnsi="標楷體" w:cs="標楷體" w:hint="eastAsia"/>
          <w:b/>
          <w:sz w:val="24"/>
          <w:szCs w:val="24"/>
        </w:rPr>
        <w:lastRenderedPageBreak/>
        <w:t>附件</w:t>
      </w:r>
      <w:r>
        <w:rPr>
          <w:rFonts w:ascii="標楷體" w:eastAsia="標楷體" w:hAnsi="標楷體" w:cs="標楷體" w:hint="eastAsia"/>
          <w:b/>
          <w:sz w:val="24"/>
          <w:szCs w:val="24"/>
        </w:rPr>
        <w:t xml:space="preserve"> </w:t>
      </w:r>
      <w:r>
        <w:rPr>
          <w:rFonts w:ascii="標楷體" w:eastAsia="標楷體" w:hAnsi="標楷體" w:cs="標楷體" w:hint="eastAsia"/>
          <w:sz w:val="24"/>
          <w:szCs w:val="24"/>
        </w:rPr>
        <w:t>課程表</w:t>
      </w:r>
    </w:p>
    <w:p w:rsidR="00152992" w:rsidRPr="000E36BD" w:rsidRDefault="00152992" w:rsidP="00152992">
      <w:pPr>
        <w:rPr>
          <w:rFonts w:ascii="標楷體" w:eastAsia="標楷體" w:hAnsi="標楷體"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74"/>
        <w:gridCol w:w="1922"/>
        <w:gridCol w:w="1922"/>
        <w:gridCol w:w="1922"/>
        <w:gridCol w:w="1922"/>
      </w:tblGrid>
      <w:tr w:rsidR="00152992" w:rsidRPr="000E36BD" w:rsidTr="008040C0">
        <w:trPr>
          <w:trHeight w:val="567"/>
          <w:jc w:val="center"/>
        </w:trPr>
        <w:tc>
          <w:tcPr>
            <w:tcW w:w="403"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日期</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時間</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講授內容</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主講人</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備</w:t>
            </w:r>
            <w:r w:rsidRPr="000E36BD">
              <w:rPr>
                <w:rFonts w:ascii="標楷體" w:eastAsia="標楷體" w:hAnsi="標楷體" w:cs="標楷體"/>
                <w:sz w:val="24"/>
                <w:szCs w:val="24"/>
              </w:rPr>
              <w:t xml:space="preserve">   </w:t>
            </w:r>
            <w:proofErr w:type="gramStart"/>
            <w:r w:rsidRPr="000E36BD">
              <w:rPr>
                <w:rFonts w:ascii="標楷體" w:eastAsia="標楷體" w:hAnsi="標楷體" w:cs="標楷體" w:hint="eastAsia"/>
                <w:sz w:val="24"/>
                <w:szCs w:val="24"/>
              </w:rPr>
              <w:t>註</w:t>
            </w:r>
            <w:proofErr w:type="gramEnd"/>
          </w:p>
        </w:tc>
      </w:tr>
      <w:tr w:rsidR="00152992" w:rsidRPr="000E36BD" w:rsidTr="008040C0">
        <w:trPr>
          <w:trHeight w:val="567"/>
          <w:jc w:val="center"/>
        </w:trPr>
        <w:tc>
          <w:tcPr>
            <w:tcW w:w="403" w:type="pct"/>
            <w:vMerge w:val="restart"/>
            <w:vAlign w:val="center"/>
          </w:tcPr>
          <w:p w:rsidR="00152992" w:rsidRPr="000E36BD" w:rsidRDefault="00152992" w:rsidP="008040C0">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4</w:t>
            </w:r>
          </w:p>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月</w:t>
            </w:r>
          </w:p>
          <w:p w:rsidR="00152992" w:rsidRPr="000E36BD" w:rsidRDefault="00152992" w:rsidP="008040C0">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21</w:t>
            </w:r>
          </w:p>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日</w:t>
            </w:r>
          </w:p>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w:t>
            </w:r>
            <w:r>
              <w:rPr>
                <w:rFonts w:ascii="標楷體" w:eastAsia="標楷體" w:hAnsi="標楷體" w:cs="標楷體" w:hint="eastAsia"/>
                <w:sz w:val="24"/>
                <w:szCs w:val="24"/>
              </w:rPr>
              <w:t>五</w:t>
            </w:r>
            <w:r w:rsidRPr="000E36BD">
              <w:rPr>
                <w:rFonts w:ascii="標楷體" w:eastAsia="標楷體" w:hAnsi="標楷體" w:cs="標楷體"/>
                <w:sz w:val="24"/>
                <w:szCs w:val="24"/>
              </w:rPr>
              <w:t>)</w:t>
            </w: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0840~0900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報到</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0900~0910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始業式</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教育處長官</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0920~1100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澎湖地質地景概論</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洪清林輔導員</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1110~1200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空拍機運用與操作簡介</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林君</w:t>
            </w:r>
            <w:proofErr w:type="gramStart"/>
            <w:r w:rsidRPr="000E36BD">
              <w:rPr>
                <w:rFonts w:ascii="標楷體" w:eastAsia="標楷體" w:hAnsi="標楷體" w:cs="標楷體" w:hint="eastAsia"/>
                <w:sz w:val="24"/>
                <w:szCs w:val="24"/>
              </w:rPr>
              <w:t>諭</w:t>
            </w:r>
            <w:proofErr w:type="gramEnd"/>
            <w:r w:rsidRPr="000E36BD">
              <w:rPr>
                <w:rFonts w:ascii="標楷體" w:eastAsia="標楷體" w:hAnsi="標楷體" w:cs="標楷體" w:hint="eastAsia"/>
                <w:sz w:val="24"/>
                <w:szCs w:val="24"/>
              </w:rPr>
              <w:t>輔導員</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1330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集合發車</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1400~1540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實地拍攝與練習</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林君</w:t>
            </w:r>
            <w:proofErr w:type="gramStart"/>
            <w:r w:rsidRPr="000E36BD">
              <w:rPr>
                <w:rFonts w:ascii="標楷體" w:eastAsia="標楷體" w:hAnsi="標楷體" w:cs="標楷體" w:hint="eastAsia"/>
                <w:sz w:val="24"/>
                <w:szCs w:val="24"/>
              </w:rPr>
              <w:t>諭</w:t>
            </w:r>
            <w:proofErr w:type="gramEnd"/>
            <w:r w:rsidRPr="000E36BD">
              <w:rPr>
                <w:rFonts w:ascii="標楷體" w:eastAsia="標楷體" w:hAnsi="標楷體" w:cs="標楷體" w:hint="eastAsia"/>
                <w:sz w:val="24"/>
                <w:szCs w:val="24"/>
              </w:rPr>
              <w:t>輔導員</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1540~1600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回程</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1600~1630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綜合座談</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教育處長官</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r w:rsidR="00152992" w:rsidRPr="000E36BD" w:rsidTr="008040C0">
        <w:trPr>
          <w:trHeight w:val="567"/>
          <w:jc w:val="center"/>
        </w:trPr>
        <w:tc>
          <w:tcPr>
            <w:tcW w:w="403" w:type="pct"/>
            <w:vMerge/>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0E36BD"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sz w:val="24"/>
                <w:szCs w:val="24"/>
              </w:rPr>
              <w:t>1630</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r w:rsidRPr="000E36BD">
              <w:rPr>
                <w:rFonts w:ascii="標楷體" w:eastAsia="標楷體" w:hAnsi="標楷體" w:cs="標楷體" w:hint="eastAsia"/>
                <w:sz w:val="24"/>
                <w:szCs w:val="24"/>
              </w:rPr>
              <w:t>賦歸</w:t>
            </w: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c>
          <w:tcPr>
            <w:tcW w:w="1149" w:type="pct"/>
            <w:vAlign w:val="center"/>
          </w:tcPr>
          <w:p w:rsidR="00152992" w:rsidRPr="00E82370" w:rsidRDefault="00152992" w:rsidP="008040C0">
            <w:pPr>
              <w:spacing w:after="0" w:line="240" w:lineRule="exact"/>
              <w:jc w:val="center"/>
              <w:rPr>
                <w:rFonts w:ascii="標楷體" w:eastAsia="標楷體" w:hAnsi="標楷體" w:cs="標楷體"/>
                <w:sz w:val="24"/>
                <w:szCs w:val="24"/>
              </w:rPr>
            </w:pPr>
          </w:p>
        </w:tc>
      </w:tr>
    </w:tbl>
    <w:p w:rsidR="00152992" w:rsidRPr="000E36BD" w:rsidRDefault="00152992" w:rsidP="00152992">
      <w:pPr>
        <w:rPr>
          <w:rFonts w:ascii="標楷體" w:eastAsia="標楷體" w:hAnsi="標楷體" w:cs="Times New Roman"/>
          <w:sz w:val="24"/>
          <w:szCs w:val="24"/>
        </w:rPr>
      </w:pPr>
    </w:p>
    <w:p w:rsidR="00B81F48" w:rsidRPr="00152992" w:rsidRDefault="00B81F48" w:rsidP="00152992">
      <w:pPr>
        <w:spacing w:after="0" w:line="240" w:lineRule="auto"/>
        <w:rPr>
          <w:rFonts w:ascii="標楷體" w:eastAsia="標楷體" w:hAnsi="標楷體" w:cs="標楷體"/>
          <w:sz w:val="24"/>
          <w:szCs w:val="24"/>
        </w:rPr>
      </w:pPr>
    </w:p>
    <w:sectPr w:rsidR="00B81F48" w:rsidRPr="00152992" w:rsidSect="007F4EC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9DC" w:rsidRDefault="000D69DC" w:rsidP="003319DA">
      <w:pPr>
        <w:spacing w:after="0" w:line="240" w:lineRule="auto"/>
      </w:pPr>
      <w:r>
        <w:separator/>
      </w:r>
    </w:p>
  </w:endnote>
  <w:endnote w:type="continuationSeparator" w:id="0">
    <w:p w:rsidR="000D69DC" w:rsidRDefault="000D69DC" w:rsidP="00331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9DC" w:rsidRDefault="000D69DC" w:rsidP="003319DA">
      <w:pPr>
        <w:spacing w:after="0" w:line="240" w:lineRule="auto"/>
      </w:pPr>
      <w:r>
        <w:separator/>
      </w:r>
    </w:p>
  </w:footnote>
  <w:footnote w:type="continuationSeparator" w:id="0">
    <w:p w:rsidR="000D69DC" w:rsidRDefault="000D69DC" w:rsidP="00331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7757"/>
    <w:multiLevelType w:val="hybridMultilevel"/>
    <w:tmpl w:val="54E899EC"/>
    <w:lvl w:ilvl="0" w:tplc="04090015">
      <w:start w:val="2"/>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992"/>
    <w:rsid w:val="000D69DC"/>
    <w:rsid w:val="00152992"/>
    <w:rsid w:val="003319DA"/>
    <w:rsid w:val="006035AC"/>
    <w:rsid w:val="007F4ECB"/>
    <w:rsid w:val="00B81F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2"/>
    <w:pPr>
      <w:spacing w:after="120" w:line="264" w:lineRule="auto"/>
    </w:pPr>
    <w:rPr>
      <w:rFonts w:ascii="Calibri" w:eastAsia="新細明體" w:hAnsi="Calibri" w:cs="Calibri"/>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52992"/>
    <w:pPr>
      <w:ind w:leftChars="200" w:left="480"/>
    </w:pPr>
  </w:style>
  <w:style w:type="character" w:customStyle="1" w:styleId="a4">
    <w:name w:val="清單段落 字元"/>
    <w:basedOn w:val="a0"/>
    <w:link w:val="a3"/>
    <w:uiPriority w:val="34"/>
    <w:locked/>
    <w:rsid w:val="00152992"/>
    <w:rPr>
      <w:rFonts w:ascii="Calibri" w:eastAsia="新細明體" w:hAnsi="Calibri" w:cs="Calibri"/>
      <w:kern w:val="0"/>
      <w:sz w:val="21"/>
      <w:szCs w:val="21"/>
    </w:rPr>
  </w:style>
  <w:style w:type="paragraph" w:styleId="a5">
    <w:name w:val="header"/>
    <w:basedOn w:val="a"/>
    <w:link w:val="a6"/>
    <w:uiPriority w:val="99"/>
    <w:semiHidden/>
    <w:unhideWhenUsed/>
    <w:rsid w:val="003319DA"/>
    <w:pPr>
      <w:tabs>
        <w:tab w:val="center" w:pos="4153"/>
        <w:tab w:val="right" w:pos="8306"/>
      </w:tabs>
      <w:snapToGrid w:val="0"/>
    </w:pPr>
    <w:rPr>
      <w:sz w:val="20"/>
      <w:szCs w:val="20"/>
    </w:rPr>
  </w:style>
  <w:style w:type="character" w:customStyle="1" w:styleId="a6">
    <w:name w:val="頁首 字元"/>
    <w:basedOn w:val="a0"/>
    <w:link w:val="a5"/>
    <w:uiPriority w:val="99"/>
    <w:semiHidden/>
    <w:rsid w:val="003319DA"/>
    <w:rPr>
      <w:rFonts w:ascii="Calibri" w:eastAsia="新細明體" w:hAnsi="Calibri" w:cs="Calibri"/>
      <w:kern w:val="0"/>
      <w:sz w:val="20"/>
      <w:szCs w:val="20"/>
    </w:rPr>
  </w:style>
  <w:style w:type="paragraph" w:styleId="a7">
    <w:name w:val="footer"/>
    <w:basedOn w:val="a"/>
    <w:link w:val="a8"/>
    <w:uiPriority w:val="99"/>
    <w:semiHidden/>
    <w:unhideWhenUsed/>
    <w:rsid w:val="003319DA"/>
    <w:pPr>
      <w:tabs>
        <w:tab w:val="center" w:pos="4153"/>
        <w:tab w:val="right" w:pos="8306"/>
      </w:tabs>
      <w:snapToGrid w:val="0"/>
    </w:pPr>
    <w:rPr>
      <w:sz w:val="20"/>
      <w:szCs w:val="20"/>
    </w:rPr>
  </w:style>
  <w:style w:type="character" w:customStyle="1" w:styleId="a8">
    <w:name w:val="頁尾 字元"/>
    <w:basedOn w:val="a0"/>
    <w:link w:val="a7"/>
    <w:uiPriority w:val="99"/>
    <w:semiHidden/>
    <w:rsid w:val="003319DA"/>
    <w:rPr>
      <w:rFonts w:ascii="Calibri" w:eastAsia="新細明體" w:hAnsi="Calibri" w:cs="Calibri"/>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2017-04-13T06:28:00Z</dcterms:created>
  <dcterms:modified xsi:type="dcterms:W3CDTF">2017-04-13T06:28:00Z</dcterms:modified>
</cp:coreProperties>
</file>