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E3" w:rsidRPr="009C2081" w:rsidRDefault="000436E3" w:rsidP="000436E3">
      <w:pPr>
        <w:autoSpaceDE w:val="0"/>
        <w:autoSpaceDN w:val="0"/>
        <w:adjustRightInd w:val="0"/>
        <w:jc w:val="center"/>
        <w:rPr>
          <w:rFonts w:ascii="標楷體" w:eastAsia="標楷體" w:hAnsi="標楷體" w:cs="TT16DCo00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TT16DCo00" w:hint="eastAsia"/>
          <w:kern w:val="0"/>
          <w:sz w:val="36"/>
          <w:szCs w:val="36"/>
        </w:rPr>
        <w:t>澎湖縣立馬公國民中</w:t>
      </w:r>
      <w:r w:rsidRPr="009C2081">
        <w:rPr>
          <w:rFonts w:ascii="標楷體" w:eastAsia="標楷體" w:hAnsi="標楷體" w:cs="TT16DCo00" w:hint="eastAsia"/>
          <w:kern w:val="0"/>
          <w:sz w:val="36"/>
          <w:szCs w:val="36"/>
        </w:rPr>
        <w:t>學「節約能源」實施計畫</w:t>
      </w:r>
    </w:p>
    <w:bookmarkEnd w:id="0"/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3Font_0"/>
          <w:kern w:val="0"/>
          <w:sz w:val="20"/>
          <w:szCs w:val="20"/>
        </w:rPr>
      </w:pPr>
    </w:p>
    <w:p w:rsidR="000436E3" w:rsidRPr="009C2081" w:rsidRDefault="000436E3" w:rsidP="000436E3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一、依據：</w:t>
      </w:r>
      <w:r w:rsidRPr="00F311A4">
        <w:rPr>
          <w:rFonts w:ascii="標楷體" w:eastAsia="標楷體" w:hAnsi="標楷體" w:hint="eastAsia"/>
          <w:szCs w:val="24"/>
        </w:rPr>
        <w:t>行政院105年11月28日院</w:t>
      </w:r>
      <w:proofErr w:type="gramStart"/>
      <w:r w:rsidRPr="00F311A4">
        <w:rPr>
          <w:rFonts w:ascii="標楷體" w:eastAsia="標楷體" w:hAnsi="標楷體" w:hint="eastAsia"/>
          <w:szCs w:val="24"/>
        </w:rPr>
        <w:t>臺經字第1050041404號函暨</w:t>
      </w:r>
      <w:proofErr w:type="gramEnd"/>
      <w:r w:rsidRPr="00F311A4">
        <w:rPr>
          <w:rFonts w:ascii="標楷體" w:eastAsia="標楷體" w:hAnsi="標楷體" w:hint="eastAsia"/>
          <w:szCs w:val="24"/>
        </w:rPr>
        <w:t>澎湖縣政府105年12月6日府建商字第1050069819號函辦理</w:t>
      </w:r>
      <w:r>
        <w:rPr>
          <w:rFonts w:ascii="標楷體" w:eastAsia="標楷體" w:hAnsi="標楷體" w:hint="eastAsia"/>
          <w:szCs w:val="24"/>
        </w:rPr>
        <w:t>，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特訂定本計劃。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二、目的：</w:t>
      </w:r>
    </w:p>
    <w:p w:rsidR="000436E3" w:rsidRPr="009C2081" w:rsidRDefault="000436E3" w:rsidP="000436E3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E26C67B0t00"/>
          <w:kern w:val="0"/>
          <w:szCs w:val="24"/>
        </w:rPr>
        <w:t>(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一</w:t>
      </w:r>
      <w:proofErr w:type="gramEnd"/>
      <w:r w:rsidRPr="009C2081">
        <w:rPr>
          <w:rFonts w:ascii="標楷體" w:eastAsia="標楷體" w:hAnsi="標楷體" w:cs="TTE26C67B0t00"/>
          <w:kern w:val="0"/>
          <w:szCs w:val="24"/>
        </w:rPr>
        <w:t>)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推行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節能減碳與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改善高耗能設備，並建立完善之能源管理與宣導機制，以強化校園節能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減碳之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軟硬體設備，達成節約能源及溫室氣體減量之目標。</w:t>
      </w:r>
    </w:p>
    <w:p w:rsidR="000436E3" w:rsidRPr="009C2081" w:rsidRDefault="000436E3" w:rsidP="000436E3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E26C67B0t00"/>
          <w:kern w:val="0"/>
          <w:szCs w:val="24"/>
        </w:rPr>
        <w:t>(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二</w:t>
      </w:r>
      <w:r w:rsidRPr="009C2081">
        <w:rPr>
          <w:rFonts w:ascii="標楷體" w:eastAsia="標楷體" w:hAnsi="標楷體" w:cs="TTE26C67B0t00"/>
          <w:kern w:val="0"/>
          <w:szCs w:val="24"/>
        </w:rPr>
        <w:t>)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改善校園環境安全衛生設施，符合國內相關法規標準，並強化全校師生員工環境保護及安全衛生意識，建立完善環境保護之安全衛生管理制度。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720" w:hangingChars="250" w:hanging="60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（三）做好校園內節約能源工作，及加強推廣能源教育，使人人養成節約能源習慣和態度，進而落實於學校及家庭生活之中。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600" w:hangingChars="200" w:hanging="480"/>
        <w:rPr>
          <w:rFonts w:ascii="標楷體" w:eastAsia="標楷體" w:hAnsi="標楷體" w:cs="TT16ECo00"/>
          <w:kern w:val="0"/>
          <w:szCs w:val="24"/>
        </w:rPr>
      </w:pPr>
      <w:r>
        <w:rPr>
          <w:rFonts w:ascii="標楷體" w:eastAsia="標楷體" w:hAnsi="標楷體" w:cs="TT16ECo00" w:hint="eastAsia"/>
          <w:kern w:val="0"/>
          <w:szCs w:val="24"/>
        </w:rPr>
        <w:t>（四）達成學校用電、用水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使用量以負成長為原則，以</w:t>
      </w:r>
      <w:r>
        <w:rPr>
          <w:rFonts w:ascii="標楷體" w:eastAsia="標楷體" w:hAnsi="標楷體" w:cs="Times-Roman" w:hint="eastAsia"/>
          <w:kern w:val="0"/>
          <w:szCs w:val="24"/>
        </w:rPr>
        <w:t>104</w:t>
      </w:r>
      <w:r w:rsidRPr="009C2081">
        <w:rPr>
          <w:rFonts w:ascii="標楷體" w:eastAsia="標楷體" w:hAnsi="標楷體" w:cs="Times-Roman"/>
          <w:kern w:val="0"/>
          <w:szCs w:val="24"/>
        </w:rPr>
        <w:t xml:space="preserve"> 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學年度為基期，逐年減量</w:t>
      </w:r>
      <w:r>
        <w:rPr>
          <w:rFonts w:ascii="標楷體" w:eastAsia="標楷體" w:hAnsi="標楷體" w:cs="TT16ECo00" w:hint="eastAsia"/>
          <w:kern w:val="0"/>
          <w:szCs w:val="24"/>
        </w:rPr>
        <w:t>1</w:t>
      </w:r>
      <w:r w:rsidRPr="009C2081">
        <w:rPr>
          <w:rFonts w:ascii="標楷體" w:eastAsia="標楷體" w:hAnsi="標楷體" w:cs="Times-Bold"/>
          <w:b/>
          <w:bCs/>
          <w:kern w:val="0"/>
          <w:szCs w:val="24"/>
        </w:rPr>
        <w:t>%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，並分別至</w:t>
      </w:r>
      <w:r w:rsidRPr="009C2081">
        <w:rPr>
          <w:rFonts w:ascii="標楷體" w:eastAsia="標楷體" w:hAnsi="標楷體" w:cs="TTE26C67B0t00"/>
          <w:kern w:val="0"/>
          <w:szCs w:val="24"/>
        </w:rPr>
        <w:t>10</w:t>
      </w:r>
      <w:r>
        <w:rPr>
          <w:rFonts w:ascii="標楷體" w:eastAsia="標楷體" w:hAnsi="標楷體" w:cs="TTE26C67B0t00" w:hint="eastAsia"/>
          <w:kern w:val="0"/>
          <w:szCs w:val="24"/>
        </w:rPr>
        <w:t>8</w:t>
      </w:r>
      <w:r w:rsidRPr="009C2081">
        <w:rPr>
          <w:rFonts w:ascii="標楷體" w:eastAsia="標楷體" w:hAnsi="標楷體" w:cs="TTE26C67B0t00"/>
          <w:kern w:val="0"/>
          <w:szCs w:val="24"/>
        </w:rPr>
        <w:t xml:space="preserve"> 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學年達總體節約用電、用水</w:t>
      </w:r>
      <w:r>
        <w:rPr>
          <w:rFonts w:ascii="標楷體" w:eastAsia="標楷體" w:hAnsi="標楷體" w:cs="TT16ECo00" w:hint="eastAsia"/>
          <w:kern w:val="0"/>
          <w:szCs w:val="24"/>
        </w:rPr>
        <w:t>4</w:t>
      </w:r>
      <w:r w:rsidRPr="009C2081">
        <w:rPr>
          <w:rFonts w:ascii="標楷體" w:eastAsia="標楷體" w:hAnsi="標楷體" w:cs="TTE26C67B0t00"/>
          <w:kern w:val="0"/>
          <w:szCs w:val="24"/>
        </w:rPr>
        <w:t>%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之目標。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三、主辦單位：總務處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四、協辦單位：教務處、學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務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處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五、能源推動小組工作計畫如下：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imes-Roman"/>
          <w:kern w:val="0"/>
          <w:szCs w:val="24"/>
        </w:rPr>
        <w:t>1.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召集人：由校長擔任，為節約能源推展業務之總督導。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imes-Roman"/>
          <w:kern w:val="0"/>
          <w:szCs w:val="24"/>
        </w:rPr>
        <w:t>2.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總幹事：由總務主任擔任，協助召集人督導本校節約能源推展業務。</w:t>
      </w:r>
    </w:p>
    <w:p w:rsidR="000436E3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>
        <w:rPr>
          <w:rFonts w:ascii="標楷體" w:eastAsia="標楷體" w:hAnsi="標楷體" w:cs="Times-Roman" w:hint="eastAsia"/>
          <w:kern w:val="0"/>
          <w:szCs w:val="24"/>
        </w:rPr>
        <w:t>3</w:t>
      </w:r>
      <w:r w:rsidRPr="009C2081">
        <w:rPr>
          <w:rFonts w:ascii="標楷體" w:eastAsia="標楷體" w:hAnsi="標楷體" w:cs="Times-Roman"/>
          <w:kern w:val="0"/>
          <w:szCs w:val="24"/>
        </w:rPr>
        <w:t>.</w:t>
      </w:r>
      <w:r>
        <w:rPr>
          <w:rFonts w:ascii="標楷體" w:eastAsia="標楷體" w:hAnsi="標楷體" w:cs="TT16ECo00" w:hint="eastAsia"/>
          <w:kern w:val="0"/>
          <w:szCs w:val="24"/>
        </w:rPr>
        <w:t>事務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組：總務處－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）本校節約能源推展業務策劃與執行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）訂定本校推動節約能源計畫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）策劃、執行節約能源措施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4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）定期查核、維修能源設備</w:t>
      </w:r>
    </w:p>
    <w:p w:rsidR="000436E3" w:rsidRPr="009C2081" w:rsidRDefault="000436E3" w:rsidP="000436E3">
      <w:pPr>
        <w:autoSpaceDE w:val="0"/>
        <w:autoSpaceDN w:val="0"/>
        <w:adjustRightInd w:val="0"/>
        <w:ind w:leftChars="100" w:left="840" w:hangingChars="250" w:hanging="60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5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）製作、張貼日常節約能源標語，以養成節約能源之習慣（教師、導師及行政辦公室）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6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）定期進行學校水電費之支出統計及分析</w:t>
      </w:r>
    </w:p>
    <w:p w:rsidR="000436E3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>
        <w:rPr>
          <w:rFonts w:ascii="標楷體" w:eastAsia="標楷體" w:hAnsi="標楷體" w:cs="Times-Roman" w:hint="eastAsia"/>
          <w:kern w:val="0"/>
          <w:szCs w:val="24"/>
        </w:rPr>
        <w:t>4</w:t>
      </w:r>
      <w:r w:rsidRPr="009C2081">
        <w:rPr>
          <w:rFonts w:ascii="標楷體" w:eastAsia="標楷體" w:hAnsi="標楷體" w:cs="Times-Roman"/>
          <w:kern w:val="0"/>
          <w:szCs w:val="24"/>
        </w:rPr>
        <w:t>.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教育組：教務處－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）配合能源教育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週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，將節約能源融入各科教學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）網站建立節約用電相關宣導資料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）製作、張貼日常節約能源標語，以養成節約能源之習慣（教室及專科教室）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T16F2o00"/>
          <w:kern w:val="0"/>
          <w:szCs w:val="24"/>
        </w:rPr>
        <w:t>4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）蒐集或製作相關教材、教學媒體</w:t>
      </w:r>
    </w:p>
    <w:p w:rsidR="000436E3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>
        <w:rPr>
          <w:rFonts w:ascii="標楷體" w:eastAsia="標楷體" w:hAnsi="標楷體" w:cs="Times-Roman" w:hint="eastAsia"/>
          <w:kern w:val="0"/>
          <w:szCs w:val="24"/>
        </w:rPr>
        <w:t>5</w:t>
      </w:r>
      <w:r w:rsidRPr="009C2081">
        <w:rPr>
          <w:rFonts w:ascii="標楷體" w:eastAsia="標楷體" w:hAnsi="標楷體" w:cs="Times-Roman"/>
          <w:kern w:val="0"/>
          <w:szCs w:val="24"/>
        </w:rPr>
        <w:t>.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執行組：學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務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處－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）各班成立能源小組，實際管理班級用電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）舉辦有關能源教育之藝文活動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）安排人員於週會進行相關演講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六、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採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行措施：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、汰舊換新或整體節能改造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）設立電力監測系統，監控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全校用電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情形，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實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掌握即時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資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訊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）新設或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汰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換電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梯時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，採用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變頻式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省電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梯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）配合公務機關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財產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使用年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限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規定，中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央空調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主機使用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超過</w:t>
      </w:r>
      <w:r>
        <w:rPr>
          <w:rFonts w:ascii="標楷體" w:eastAsia="標楷體" w:hAnsi="標楷體" w:cs="Times-Roman" w:hint="eastAsia"/>
          <w:kern w:val="0"/>
          <w:szCs w:val="24"/>
        </w:rPr>
        <w:t>9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年，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窗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箱型冷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氣機使用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超過</w:t>
      </w:r>
      <w:r w:rsidRPr="009C2081">
        <w:rPr>
          <w:rFonts w:ascii="標楷體" w:eastAsia="標楷體" w:hAnsi="標楷體" w:cs="Times-Roman"/>
          <w:kern w:val="0"/>
          <w:szCs w:val="24"/>
        </w:rPr>
        <w:t xml:space="preserve">5 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且效率低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於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經濟部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能源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公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告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之能源基準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者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可委請空調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專業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師或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廠商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進行節能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效益評估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分析，並予以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汰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換。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720" w:hangingChars="250" w:hanging="60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4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應優先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採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購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符合節能標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章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同等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級高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效率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之用電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器具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、設備與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車輛產品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。節能標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章產品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其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能源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效率審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查基準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請參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閱節能標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章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網站</w:t>
      </w:r>
      <w:r w:rsidRPr="009C2081">
        <w:rPr>
          <w:rFonts w:ascii="標楷體" w:eastAsia="標楷體" w:hAnsi="標楷體" w:cs="Times-Roman"/>
          <w:kern w:val="0"/>
          <w:szCs w:val="24"/>
        </w:rPr>
        <w:lastRenderedPageBreak/>
        <w:t>(http://www.energylabel.org.tw/)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720" w:hangingChars="250" w:hanging="60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5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）新建、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增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建、改建或修建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建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築物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工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應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採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綠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建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之規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範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設計並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應優先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考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慮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設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置太陽光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發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電設備，以節約能源及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提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高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再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生能源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用，減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少尖峰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用電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需求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、節約用電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1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衣著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宣導師生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視天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穿著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避免著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長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袖上衣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開冷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氣或電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風扇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1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空調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空調冷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者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控制室內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溫度於</w:t>
      </w:r>
      <w:r w:rsidRPr="009C2081">
        <w:rPr>
          <w:rFonts w:ascii="標楷體" w:eastAsia="標楷體" w:hAnsi="標楷體" w:cs="Times-Roman"/>
          <w:kern w:val="0"/>
          <w:szCs w:val="24"/>
        </w:rPr>
        <w:t>26~28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℃；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並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視需要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配合電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風扇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使用。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利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用室內、室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外遮陽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屋頂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加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裝隔熱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材或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防止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日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曬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影響空調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負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空調區域門窗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關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且應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與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外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隔離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外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洩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熱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侵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入。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定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時清洗冷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等空調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系統之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空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過濾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網，每年並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清洗空調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系統之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冷卻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塔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360" w:hangingChars="100" w:hanging="24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每年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維護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廠商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或保養人員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檢視冷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氣機之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媒量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；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若冷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媒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不足應即填充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，以保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持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中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央空調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主機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效率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1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照明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採用高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效率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子式照明燈具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或省電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燈泡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360" w:hangingChars="100" w:hanging="24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依國家標準</w:t>
      </w:r>
      <w:r w:rsidRPr="009C2081">
        <w:rPr>
          <w:rFonts w:ascii="標楷體" w:eastAsia="標楷體" w:hAnsi="標楷體" w:cs="Times-Roman"/>
          <w:kern w:val="0"/>
          <w:szCs w:val="24"/>
        </w:rPr>
        <w:t>(CNS)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所訂定之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度標準，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檢討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各環境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度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是否適當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，並作改進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；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惟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不可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為節省用電而減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少必要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的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，以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免影響視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力。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360" w:hangingChars="100" w:hanging="24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走廊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通道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地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下室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等照明需求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較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的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所，減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少燈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管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數；需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高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度的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所，於基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礎照明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增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設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局部照明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隨手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關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閉不需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使用之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非經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常使用之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照明場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所，如廁所、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茶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間等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，規劃使用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照明</w:t>
      </w:r>
      <w:r w:rsidRPr="009C2081">
        <w:rPr>
          <w:rFonts w:ascii="標楷體" w:eastAsia="標楷體" w:hAnsi="標楷體" w:cs="TT16EDo00" w:hint="eastAsia"/>
          <w:kern w:val="0"/>
          <w:szCs w:val="24"/>
        </w:rPr>
        <w:t>自動點滅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裝置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中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午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用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餐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午休時間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，關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閉不必要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之基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礎照明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及辦公事務機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器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1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4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梯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推行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步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動，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少搭乘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梯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梯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內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照明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風扇裝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設</w:t>
      </w: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自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動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啟停裝置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梯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房冷卻通風扇應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以溫控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關控制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運轉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5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）電力系統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1" w:hint="eastAsia"/>
          <w:kern w:val="0"/>
          <w:szCs w:val="24"/>
        </w:rPr>
        <w:t>變壓器放置場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所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良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好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通風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必要時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加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裝風扇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空調散熱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定期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檢討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合理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契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約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容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量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值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，以減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基本電費支出。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定期維修高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壓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系統及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穩壓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設備，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讓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功率發揮到最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高。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1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6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）事務機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器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其他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設定節電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模式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當停止運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作</w:t>
      </w:r>
      <w:r w:rsidRPr="009C2081">
        <w:rPr>
          <w:rFonts w:ascii="標楷體" w:eastAsia="標楷體" w:hAnsi="標楷體" w:cs="Times-Roman"/>
          <w:kern w:val="0"/>
          <w:szCs w:val="24"/>
        </w:rPr>
        <w:t xml:space="preserve">5~10 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分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鐘後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即可自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動進入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低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耗能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休眠狀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態。</w:t>
      </w:r>
    </w:p>
    <w:p w:rsidR="000436E3" w:rsidRPr="009C2081" w:rsidRDefault="000436E3" w:rsidP="000436E3">
      <w:pPr>
        <w:autoSpaceDE w:val="0"/>
        <w:autoSpaceDN w:val="0"/>
        <w:adjustRightInd w:val="0"/>
        <w:ind w:leftChars="50" w:left="360" w:hangingChars="100" w:hanging="24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長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時間不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使用</w:t>
      </w:r>
      <w:r w:rsidRPr="009C2081">
        <w:rPr>
          <w:rFonts w:ascii="標楷體" w:eastAsia="標楷體" w:hAnsi="標楷體" w:cs="Times-Roman"/>
          <w:kern w:val="0"/>
          <w:szCs w:val="24"/>
        </w:rPr>
        <w:t>(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如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會、公出、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午休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、下班或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日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等</w:t>
      </w:r>
      <w:r w:rsidRPr="009C2081">
        <w:rPr>
          <w:rFonts w:ascii="標楷體" w:eastAsia="標楷體" w:hAnsi="標楷體" w:cs="Times-Roman"/>
          <w:kern w:val="0"/>
          <w:szCs w:val="24"/>
        </w:rPr>
        <w:t>)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之用電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器具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或設備</w:t>
      </w:r>
      <w:r w:rsidRPr="009C2081">
        <w:rPr>
          <w:rFonts w:ascii="標楷體" w:eastAsia="標楷體" w:hAnsi="標楷體" w:cs="TT16ECo00"/>
          <w:kern w:val="0"/>
          <w:szCs w:val="24"/>
        </w:rPr>
        <w:t xml:space="preserve"> </w:t>
      </w:r>
      <w:r w:rsidRPr="009C2081">
        <w:rPr>
          <w:rFonts w:ascii="標楷體" w:eastAsia="標楷體" w:hAnsi="標楷體" w:cs="Times-Roman"/>
          <w:kern w:val="0"/>
          <w:szCs w:val="24"/>
        </w:rPr>
        <w:t>(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如電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腦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影印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等</w:t>
      </w:r>
      <w:r w:rsidRPr="009C2081">
        <w:rPr>
          <w:rFonts w:ascii="標楷體" w:eastAsia="標楷體" w:hAnsi="標楷體" w:cs="Times-Roman"/>
          <w:kern w:val="0"/>
          <w:szCs w:val="24"/>
        </w:rPr>
        <w:t>)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關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閉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主機及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周邊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設備電源，以減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少待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機電力之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浪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費。</w:t>
      </w:r>
    </w:p>
    <w:p w:rsidR="000436E3" w:rsidRPr="009C2081" w:rsidRDefault="000436E3" w:rsidP="000436E3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7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飲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水機</w:t>
      </w:r>
    </w:p>
    <w:p w:rsidR="000436E3" w:rsidRPr="009C2081" w:rsidRDefault="000436E3" w:rsidP="000436E3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TT16ECo00"/>
          <w:kern w:val="0"/>
          <w:szCs w:val="24"/>
        </w:rPr>
      </w:pPr>
      <w:proofErr w:type="gramStart"/>
      <w:r w:rsidRPr="009C2081">
        <w:rPr>
          <w:rFonts w:ascii="標楷體" w:eastAsia="標楷體" w:hAnsi="標楷體" w:cs="TT16ECo01" w:hint="eastAsia"/>
          <w:kern w:val="0"/>
          <w:szCs w:val="24"/>
        </w:rPr>
        <w:t>＊</w:t>
      </w:r>
      <w:proofErr w:type="gramEnd"/>
      <w:r>
        <w:rPr>
          <w:rFonts w:ascii="標楷體" w:eastAsia="標楷體" w:hAnsi="標楷體" w:cs="TT16ECo01" w:hint="eastAsia"/>
          <w:kern w:val="0"/>
          <w:szCs w:val="24"/>
        </w:rPr>
        <w:t>各班設有飲水機專用插座，請各導師督促學生需將各班飲水機</w:t>
      </w:r>
      <w:proofErr w:type="gramStart"/>
      <w:r>
        <w:rPr>
          <w:rFonts w:ascii="標楷體" w:eastAsia="標楷體" w:hAnsi="標楷體" w:cs="TT16ECo01" w:hint="eastAsia"/>
          <w:kern w:val="0"/>
          <w:szCs w:val="24"/>
        </w:rPr>
        <w:t>插頭插於專用</w:t>
      </w:r>
      <w:proofErr w:type="gramEnd"/>
      <w:r>
        <w:rPr>
          <w:rFonts w:ascii="標楷體" w:eastAsia="標楷體" w:hAnsi="標楷體" w:cs="TT16ECo01" w:hint="eastAsia"/>
          <w:kern w:val="0"/>
          <w:szCs w:val="24"/>
        </w:rPr>
        <w:t>插座，因專用插座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設定「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休眠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」，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晚間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日採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取休眠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措施，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在假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日及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夜間無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人使用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時停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機，以減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少飲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無謂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之耗電，以節約用電並維護辦公室用電安全。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8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）宣導全校師生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搭乘大眾運輸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系統。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9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）宣導</w:t>
      </w:r>
      <w:r>
        <w:rPr>
          <w:rFonts w:ascii="標楷體" w:eastAsia="標楷體" w:hAnsi="標楷體" w:cs="TT16ECo00" w:hint="eastAsia"/>
          <w:kern w:val="0"/>
          <w:szCs w:val="24"/>
        </w:rPr>
        <w:t>夏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日</w:t>
      </w:r>
      <w:r>
        <w:rPr>
          <w:rFonts w:ascii="標楷體" w:eastAsia="標楷體" w:hAnsi="標楷體" w:cs="TT16ECo00" w:hint="eastAsia"/>
          <w:kern w:val="0"/>
          <w:szCs w:val="24"/>
        </w:rPr>
        <w:t>溫度室內溫度未超過攝氏26度c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不</w:t>
      </w:r>
      <w:r>
        <w:rPr>
          <w:rFonts w:ascii="標楷體" w:eastAsia="標楷體" w:hAnsi="標楷體" w:cs="TT16ECo01" w:hint="eastAsia"/>
          <w:kern w:val="0"/>
          <w:szCs w:val="24"/>
        </w:rPr>
        <w:t>得開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冷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氣。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、節約用水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1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檢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修廁所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自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動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沖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水系統。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2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）全校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供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水幹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線重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整。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lastRenderedPageBreak/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3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龍頭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逐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步更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新為省水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龍頭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4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）定期監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表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，用水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是否正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常。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 w:rsidRPr="009C2081">
        <w:rPr>
          <w:rFonts w:ascii="標楷體" w:eastAsia="標楷體" w:hAnsi="標楷體" w:cs="Times-Roman"/>
          <w:kern w:val="0"/>
          <w:szCs w:val="24"/>
        </w:rPr>
        <w:t>5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不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定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時巡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查，管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線是否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滲漏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水情形。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0" w:hint="eastAsia"/>
          <w:kern w:val="0"/>
          <w:szCs w:val="24"/>
        </w:rPr>
        <w:t>（</w:t>
      </w:r>
      <w:r>
        <w:rPr>
          <w:rFonts w:ascii="標楷體" w:eastAsia="標楷體" w:hAnsi="標楷體" w:cs="Times-Roman" w:hint="eastAsia"/>
          <w:kern w:val="0"/>
          <w:szCs w:val="24"/>
        </w:rPr>
        <w:t>6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）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不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定期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向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全校師生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持續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宣導「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知福惜福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珍惜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資源、節能</w:t>
      </w:r>
      <w:proofErr w:type="gramStart"/>
      <w:r w:rsidRPr="009C2081">
        <w:rPr>
          <w:rFonts w:ascii="標楷體" w:eastAsia="標楷體" w:hAnsi="標楷體" w:cs="TT16ECo00" w:hint="eastAsia"/>
          <w:kern w:val="0"/>
          <w:szCs w:val="24"/>
        </w:rPr>
        <w:t>減碳」</w:t>
      </w:r>
      <w:proofErr w:type="gramEnd"/>
      <w:r w:rsidRPr="009C2081">
        <w:rPr>
          <w:rFonts w:ascii="標楷體" w:eastAsia="標楷體" w:hAnsi="標楷體" w:cs="TT16ECo00" w:hint="eastAsia"/>
          <w:kern w:val="0"/>
          <w:szCs w:val="24"/>
        </w:rPr>
        <w:t>之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觀念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。</w:t>
      </w:r>
    </w:p>
    <w:p w:rsidR="000436E3" w:rsidRPr="009C2081" w:rsidRDefault="000436E3" w:rsidP="000436E3">
      <w:pPr>
        <w:autoSpaceDE w:val="0"/>
        <w:autoSpaceDN w:val="0"/>
        <w:adjustRightInd w:val="0"/>
        <w:rPr>
          <w:rFonts w:ascii="標楷體" w:eastAsia="標楷體" w:hAnsi="標楷體" w:cs="TT16ECo00"/>
          <w:kern w:val="0"/>
          <w:szCs w:val="24"/>
        </w:rPr>
      </w:pPr>
      <w:r w:rsidRPr="009C2081">
        <w:rPr>
          <w:rFonts w:ascii="標楷體" w:eastAsia="標楷體" w:hAnsi="標楷體" w:cs="TT16ECo01" w:hint="eastAsia"/>
          <w:kern w:val="0"/>
          <w:szCs w:val="24"/>
        </w:rPr>
        <w:t>七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、本計畫陳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請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校長核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准後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公</w:t>
      </w:r>
      <w:r w:rsidRPr="009C2081">
        <w:rPr>
          <w:rFonts w:ascii="標楷體" w:eastAsia="標楷體" w:hAnsi="標楷體" w:cs="TT16ECo01" w:hint="eastAsia"/>
          <w:kern w:val="0"/>
          <w:szCs w:val="24"/>
        </w:rPr>
        <w:t>布</w:t>
      </w:r>
      <w:r w:rsidRPr="009C2081">
        <w:rPr>
          <w:rFonts w:ascii="標楷體" w:eastAsia="標楷體" w:hAnsi="標楷體" w:cs="TT16ECo00" w:hint="eastAsia"/>
          <w:kern w:val="0"/>
          <w:szCs w:val="24"/>
        </w:rPr>
        <w:t>實施。</w:t>
      </w:r>
    </w:p>
    <w:p w:rsidR="000436E3" w:rsidRDefault="000436E3" w:rsidP="000436E3">
      <w:pPr>
        <w:rPr>
          <w:rFonts w:ascii="標楷體" w:eastAsia="標楷體" w:hAnsi="標楷體"/>
        </w:rPr>
      </w:pPr>
    </w:p>
    <w:p w:rsidR="000436E3" w:rsidRDefault="000436E3" w:rsidP="000436E3">
      <w:pPr>
        <w:rPr>
          <w:rFonts w:ascii="標楷體" w:eastAsia="標楷體" w:hAnsi="標楷體"/>
        </w:rPr>
      </w:pPr>
    </w:p>
    <w:p w:rsidR="000436E3" w:rsidRDefault="000436E3" w:rsidP="000436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本校「節約能源推動小組」經</w:t>
      </w:r>
      <w:proofErr w:type="gramStart"/>
      <w:r>
        <w:rPr>
          <w:rFonts w:ascii="標楷體" w:eastAsia="標楷體" w:hAnsi="標楷體" w:hint="eastAsia"/>
        </w:rPr>
        <w:t>校長簽選人員</w:t>
      </w:r>
      <w:proofErr w:type="gramEnd"/>
      <w:r>
        <w:rPr>
          <w:rFonts w:ascii="標楷體" w:eastAsia="標楷體" w:hAnsi="標楷體" w:hint="eastAsia"/>
        </w:rPr>
        <w:t>名冊如下</w:t>
      </w:r>
    </w:p>
    <w:p w:rsidR="000436E3" w:rsidRPr="00AC6096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C6096">
        <w:rPr>
          <w:rFonts w:ascii="標楷體" w:eastAsia="標楷體" w:hAnsi="標楷體" w:hint="eastAsia"/>
        </w:rPr>
        <w:t>教務主任</w:t>
      </w:r>
      <w:r>
        <w:rPr>
          <w:rFonts w:ascii="標楷體" w:eastAsia="標楷體" w:hAnsi="標楷體" w:hint="eastAsia"/>
        </w:rPr>
        <w:t>：</w:t>
      </w:r>
      <w:r w:rsidRPr="00AC6096">
        <w:rPr>
          <w:rFonts w:ascii="標楷體" w:eastAsia="標楷體" w:hAnsi="標楷體" w:hint="eastAsia"/>
        </w:rPr>
        <w:t>陳冠宇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：陳冠全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總務主任：莊浩志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設備組長：陳楨林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衛生組長：趙祥宇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特教組長：陳玉燕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補校訓導：陳重慶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專任教師：歐秀英</w:t>
      </w:r>
    </w:p>
    <w:p w:rsidR="000436E3" w:rsidRDefault="000436E3" w:rsidP="00043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專任教師：歐國益</w:t>
      </w:r>
    </w:p>
    <w:p w:rsidR="000436E3" w:rsidRPr="00661CBC" w:rsidRDefault="000436E3" w:rsidP="000436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10、護理師 ：許雅</w:t>
      </w:r>
      <w:proofErr w:type="gramStart"/>
      <w:r>
        <w:rPr>
          <w:rFonts w:ascii="標楷體" w:eastAsia="標楷體" w:hAnsi="標楷體" w:hint="eastAsia"/>
        </w:rPr>
        <w:t>筑</w:t>
      </w:r>
      <w:proofErr w:type="gramEnd"/>
    </w:p>
    <w:p w:rsidR="00163027" w:rsidRDefault="00163027"/>
    <w:sectPr w:rsidR="00163027" w:rsidSect="004D0D5C">
      <w:pgSz w:w="11907" w:h="16839" w:code="9"/>
      <w:pgMar w:top="1440" w:right="1377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6DCo00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Font_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16ECo00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26C67B0t00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F2o00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6ECo01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6EDo00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129"/>
    <w:multiLevelType w:val="hybridMultilevel"/>
    <w:tmpl w:val="1B7E27A0"/>
    <w:lvl w:ilvl="0" w:tplc="38D002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3"/>
    <w:rsid w:val="000436E3"/>
    <w:rsid w:val="00163027"/>
    <w:rsid w:val="003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MKJH</dc:creator>
  <cp:lastModifiedBy>MKJH</cp:lastModifiedBy>
  <cp:revision>2</cp:revision>
  <dcterms:created xsi:type="dcterms:W3CDTF">2017-01-13T02:45:00Z</dcterms:created>
  <dcterms:modified xsi:type="dcterms:W3CDTF">2017-01-13T02:45:00Z</dcterms:modified>
</cp:coreProperties>
</file>